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C30F" w14:textId="566D9629" w:rsidR="005355FD" w:rsidRPr="00F81EC4" w:rsidRDefault="00E017CE" w:rsidP="005355FD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MINUTA </w:t>
      </w:r>
      <w:r w:rsidR="005355FD" w:rsidRPr="00F81EC4">
        <w:rPr>
          <w:rFonts w:ascii="Arial" w:hAnsi="Arial" w:cs="Arial"/>
          <w:b/>
          <w:snapToGrid w:val="0"/>
        </w:rPr>
        <w:t>Deliberação CBH-AT</w:t>
      </w:r>
      <w:r w:rsidR="005355FD">
        <w:rPr>
          <w:rFonts w:ascii="Arial" w:hAnsi="Arial" w:cs="Arial"/>
          <w:b/>
          <w:snapToGrid w:val="0"/>
        </w:rPr>
        <w:t xml:space="preserve"> </w:t>
      </w:r>
      <w:r w:rsidR="005355FD" w:rsidRPr="00F81EC4">
        <w:rPr>
          <w:rFonts w:ascii="Arial" w:hAnsi="Arial" w:cs="Arial"/>
          <w:b/>
          <w:snapToGrid w:val="0"/>
        </w:rPr>
        <w:t>n°</w:t>
      </w:r>
      <w:r w:rsidR="00B67E11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XX</w:t>
      </w:r>
      <w:r w:rsidR="005355FD">
        <w:rPr>
          <w:rFonts w:ascii="Arial" w:hAnsi="Arial" w:cs="Arial"/>
          <w:b/>
          <w:snapToGrid w:val="0"/>
        </w:rPr>
        <w:t xml:space="preserve"> de </w:t>
      </w:r>
      <w:proofErr w:type="spellStart"/>
      <w:r w:rsidR="00D6272C">
        <w:rPr>
          <w:rFonts w:ascii="Arial" w:hAnsi="Arial" w:cs="Arial"/>
          <w:b/>
          <w:snapToGrid w:val="0"/>
        </w:rPr>
        <w:t>xx</w:t>
      </w:r>
      <w:proofErr w:type="spellEnd"/>
      <w:r w:rsidR="00786C37">
        <w:rPr>
          <w:rFonts w:ascii="Arial" w:hAnsi="Arial" w:cs="Arial"/>
          <w:b/>
          <w:snapToGrid w:val="0"/>
        </w:rPr>
        <w:t xml:space="preserve"> de </w:t>
      </w:r>
      <w:r>
        <w:rPr>
          <w:rFonts w:ascii="Arial" w:hAnsi="Arial" w:cs="Arial"/>
          <w:b/>
          <w:snapToGrid w:val="0"/>
        </w:rPr>
        <w:t>setembro</w:t>
      </w:r>
      <w:r w:rsidR="00786C37">
        <w:rPr>
          <w:rFonts w:ascii="Arial" w:hAnsi="Arial" w:cs="Arial"/>
          <w:b/>
          <w:snapToGrid w:val="0"/>
        </w:rPr>
        <w:t xml:space="preserve"> de 2018</w:t>
      </w:r>
    </w:p>
    <w:p w14:paraId="5570027F" w14:textId="77777777" w:rsidR="005355FD" w:rsidRPr="006D79EF" w:rsidRDefault="005355FD" w:rsidP="005355FD">
      <w:pPr>
        <w:pStyle w:val="Corpodetexto2"/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451C9947" w14:textId="4217C452" w:rsidR="005355FD" w:rsidRPr="006D79EF" w:rsidRDefault="005355FD" w:rsidP="005355FD">
      <w:pPr>
        <w:pStyle w:val="Corpodetexto2"/>
        <w:spacing w:after="0" w:line="240" w:lineRule="auto"/>
        <w:ind w:left="4253"/>
        <w:jc w:val="both"/>
        <w:rPr>
          <w:rFonts w:ascii="Arial" w:hAnsi="Arial" w:cs="Arial"/>
          <w:b/>
        </w:rPr>
      </w:pPr>
      <w:r w:rsidRPr="00BF58DC">
        <w:rPr>
          <w:rFonts w:ascii="Arial" w:hAnsi="Arial" w:cs="Arial"/>
        </w:rPr>
        <w:t xml:space="preserve">Aprova </w:t>
      </w:r>
      <w:r w:rsidR="00E017CE">
        <w:rPr>
          <w:rFonts w:ascii="Arial" w:hAnsi="Arial" w:cs="Arial"/>
        </w:rPr>
        <w:t xml:space="preserve">Nota Técnica sobre o cumprimento das condicionantes do artigo </w:t>
      </w:r>
      <w:r w:rsidR="00601A42">
        <w:rPr>
          <w:rFonts w:ascii="Arial" w:hAnsi="Arial" w:cs="Arial"/>
        </w:rPr>
        <w:t>11</w:t>
      </w:r>
      <w:r w:rsidR="00E017CE">
        <w:rPr>
          <w:rFonts w:ascii="Arial" w:hAnsi="Arial" w:cs="Arial"/>
        </w:rPr>
        <w:t>° da Resolução Conjunta ANA/DAEE n° 926/2017.</w:t>
      </w:r>
    </w:p>
    <w:p w14:paraId="75311C25" w14:textId="77777777" w:rsidR="00505A41" w:rsidRDefault="00505A41" w:rsidP="005355FD">
      <w:pPr>
        <w:rPr>
          <w:rFonts w:ascii="Arial" w:hAnsi="Arial" w:cs="Arial"/>
          <w:bCs/>
          <w:iCs/>
          <w:snapToGrid w:val="0"/>
        </w:rPr>
      </w:pPr>
    </w:p>
    <w:p w14:paraId="7811B219" w14:textId="77777777" w:rsidR="005355FD" w:rsidRPr="006D0BA6" w:rsidRDefault="005355FD" w:rsidP="00C71115">
      <w:pPr>
        <w:rPr>
          <w:rFonts w:ascii="Arial" w:hAnsi="Arial" w:cs="Arial"/>
          <w:bCs/>
          <w:iCs/>
          <w:snapToGrid w:val="0"/>
        </w:rPr>
      </w:pPr>
      <w:r w:rsidRPr="006D0BA6">
        <w:rPr>
          <w:rFonts w:ascii="Arial" w:hAnsi="Arial" w:cs="Arial"/>
          <w:bCs/>
          <w:iCs/>
          <w:snapToGrid w:val="0"/>
        </w:rPr>
        <w:t>O Comitê da Bacia Hidrográfica do Alto Tietê, no uso de s</w:t>
      </w:r>
      <w:r w:rsidR="00505A41">
        <w:rPr>
          <w:rFonts w:ascii="Arial" w:hAnsi="Arial" w:cs="Arial"/>
          <w:bCs/>
          <w:iCs/>
          <w:snapToGrid w:val="0"/>
        </w:rPr>
        <w:t>uas atribuições, e considerando q</w:t>
      </w:r>
      <w:r w:rsidRPr="006D0BA6">
        <w:rPr>
          <w:rFonts w:ascii="Arial" w:hAnsi="Arial" w:cs="Arial"/>
          <w:bCs/>
          <w:iCs/>
          <w:snapToGrid w:val="0"/>
        </w:rPr>
        <w:t>ue:</w:t>
      </w:r>
    </w:p>
    <w:p w14:paraId="59EA5042" w14:textId="742949E3" w:rsidR="005355FD" w:rsidRPr="006D0BA6" w:rsidRDefault="00FE4012" w:rsidP="00105F21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Resolução Conjunta ANA/DAEE n° 926 de 29 de maio de 2017, que dispõe sobre a outorga à Companhia de Saneamento Básico do Estado de São Paulo – SABESP, o uso das vazões máximas médias mensais do Sistema Cantareira</w:t>
      </w:r>
      <w:r w:rsidR="005355FD">
        <w:rPr>
          <w:rFonts w:ascii="Arial" w:hAnsi="Arial" w:cs="Arial"/>
        </w:rPr>
        <w:t>;</w:t>
      </w:r>
    </w:p>
    <w:p w14:paraId="6E125E98" w14:textId="33F5FB62" w:rsidR="00FE4012" w:rsidRDefault="004B6C10" w:rsidP="00105F21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E4012">
        <w:rPr>
          <w:rFonts w:ascii="Arial" w:hAnsi="Arial" w:cs="Arial"/>
        </w:rPr>
        <w:t xml:space="preserve"> artigo</w:t>
      </w:r>
      <w:r>
        <w:rPr>
          <w:rFonts w:ascii="Arial" w:hAnsi="Arial" w:cs="Arial"/>
        </w:rPr>
        <w:t xml:space="preserve"> 11</w:t>
      </w:r>
      <w:r w:rsidR="00FE4012">
        <w:rPr>
          <w:rFonts w:ascii="Arial" w:hAnsi="Arial" w:cs="Arial"/>
        </w:rPr>
        <w:t>° da referida Resolução, que determina à SABESP encaminhar</w:t>
      </w:r>
      <w:r>
        <w:rPr>
          <w:rFonts w:ascii="Arial" w:hAnsi="Arial" w:cs="Arial"/>
        </w:rPr>
        <w:t xml:space="preserve"> o</w:t>
      </w:r>
      <w:r w:rsidR="00FE4012">
        <w:rPr>
          <w:rFonts w:ascii="Arial" w:hAnsi="Arial" w:cs="Arial"/>
        </w:rPr>
        <w:t xml:space="preserve"> plano </w:t>
      </w:r>
      <w:r>
        <w:rPr>
          <w:rFonts w:ascii="Arial" w:hAnsi="Arial" w:cs="Arial"/>
        </w:rPr>
        <w:t>de operação dos reservatórios durante o período de cheias,</w:t>
      </w:r>
      <w:r w:rsidR="00FE4012">
        <w:rPr>
          <w:rFonts w:ascii="Arial" w:hAnsi="Arial" w:cs="Arial"/>
        </w:rPr>
        <w:t xml:space="preserve"> aos órgãos gestores, no prazo de </w:t>
      </w:r>
      <w:r>
        <w:rPr>
          <w:rFonts w:ascii="Arial" w:hAnsi="Arial" w:cs="Arial"/>
        </w:rPr>
        <w:t>12</w:t>
      </w:r>
      <w:r w:rsidR="00FE4012">
        <w:rPr>
          <w:rFonts w:ascii="Arial" w:hAnsi="Arial" w:cs="Arial"/>
        </w:rPr>
        <w:t xml:space="preserve"> meses, após ouvidos os Comitês PCJ e do CBH-AT;</w:t>
      </w:r>
    </w:p>
    <w:p w14:paraId="0D15D277" w14:textId="6F14B6ED" w:rsidR="005355FD" w:rsidRPr="006D0BA6" w:rsidRDefault="00FE4012" w:rsidP="00105F21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Ofício</w:t>
      </w:r>
      <w:r w:rsidR="007815D5">
        <w:rPr>
          <w:rFonts w:ascii="Arial" w:hAnsi="Arial" w:cs="Arial"/>
        </w:rPr>
        <w:t xml:space="preserve"> conjunto ANA/DAEE n° </w:t>
      </w:r>
      <w:r w:rsidR="004B6C10">
        <w:rPr>
          <w:rFonts w:ascii="Arial" w:hAnsi="Arial" w:cs="Arial"/>
        </w:rPr>
        <w:t>46/2018</w:t>
      </w:r>
      <w:r w:rsidR="007815D5">
        <w:rPr>
          <w:rFonts w:ascii="Arial" w:hAnsi="Arial" w:cs="Arial"/>
        </w:rPr>
        <w:t xml:space="preserve">, que encaminha o </w:t>
      </w:r>
      <w:r w:rsidR="004B6C10">
        <w:rPr>
          <w:rFonts w:ascii="Arial" w:hAnsi="Arial" w:cs="Arial"/>
        </w:rPr>
        <w:t>referido plano em atendimento ao artigo 11</w:t>
      </w:r>
      <w:r w:rsidR="007815D5">
        <w:rPr>
          <w:rFonts w:ascii="Arial" w:hAnsi="Arial" w:cs="Arial"/>
        </w:rPr>
        <w:t>° da Resolução conjunta ANA/DAEE n° 926/2017</w:t>
      </w:r>
      <w:r w:rsidR="005355FD" w:rsidRPr="006D0BA6">
        <w:rPr>
          <w:rFonts w:ascii="Arial" w:hAnsi="Arial" w:cs="Arial"/>
        </w:rPr>
        <w:t>;</w:t>
      </w:r>
    </w:p>
    <w:p w14:paraId="0DE31832" w14:textId="55706A92" w:rsidR="003C4879" w:rsidRPr="003C4879" w:rsidRDefault="004B6C10" w:rsidP="00105F21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bCs/>
          <w:i/>
          <w:iCs/>
          <w:snapToGrid w:val="0"/>
        </w:rPr>
      </w:pPr>
      <w:r>
        <w:rPr>
          <w:rFonts w:ascii="Arial" w:hAnsi="Arial" w:cs="Arial"/>
        </w:rPr>
        <w:t>A apresentação realizada pela SABESP e a elaboração do</w:t>
      </w:r>
      <w:r w:rsidR="00C06696" w:rsidRPr="00872A81">
        <w:rPr>
          <w:rFonts w:ascii="Arial" w:hAnsi="Arial" w:cs="Arial"/>
        </w:rPr>
        <w:t xml:space="preserve"> Parecer Técnico</w:t>
      </w:r>
      <w:r w:rsidR="00C06696" w:rsidRPr="006D0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a demanda, </w:t>
      </w:r>
      <w:r w:rsidR="00C06696">
        <w:rPr>
          <w:rFonts w:ascii="Arial" w:hAnsi="Arial" w:cs="Arial"/>
        </w:rPr>
        <w:t>em reuniã</w:t>
      </w:r>
      <w:r>
        <w:rPr>
          <w:rFonts w:ascii="Arial" w:hAnsi="Arial" w:cs="Arial"/>
        </w:rPr>
        <w:t>o conjunta da Câmara</w:t>
      </w:r>
      <w:r w:rsidR="00C06696">
        <w:rPr>
          <w:rFonts w:ascii="Arial" w:hAnsi="Arial" w:cs="Arial"/>
        </w:rPr>
        <w:t xml:space="preserve"> Técnica</w:t>
      </w:r>
      <w:r>
        <w:rPr>
          <w:rFonts w:ascii="Arial" w:hAnsi="Arial" w:cs="Arial"/>
        </w:rPr>
        <w:t xml:space="preserve"> de </w:t>
      </w:r>
      <w:r w:rsidR="00C06696">
        <w:rPr>
          <w:rFonts w:ascii="Arial" w:hAnsi="Arial" w:cs="Arial"/>
        </w:rPr>
        <w:t xml:space="preserve">Monitoramento Hidrológico (CT-MH) com o GT-OC, realizada em </w:t>
      </w:r>
      <w:r>
        <w:rPr>
          <w:rFonts w:ascii="Arial" w:hAnsi="Arial" w:cs="Arial"/>
        </w:rPr>
        <w:t>03</w:t>
      </w:r>
      <w:r w:rsidR="00C06696">
        <w:rPr>
          <w:rFonts w:ascii="Arial" w:hAnsi="Arial" w:cs="Arial"/>
        </w:rPr>
        <w:t>/0</w:t>
      </w:r>
      <w:r>
        <w:rPr>
          <w:rFonts w:ascii="Arial" w:hAnsi="Arial" w:cs="Arial"/>
        </w:rPr>
        <w:t>8</w:t>
      </w:r>
      <w:r w:rsidR="00C06696">
        <w:rPr>
          <w:rFonts w:ascii="Arial" w:hAnsi="Arial" w:cs="Arial"/>
        </w:rPr>
        <w:t>/2018;</w:t>
      </w:r>
    </w:p>
    <w:p w14:paraId="7B832FB0" w14:textId="77777777" w:rsidR="005355FD" w:rsidRPr="00BF58DC" w:rsidRDefault="005355FD" w:rsidP="00C71115">
      <w:pPr>
        <w:jc w:val="both"/>
        <w:rPr>
          <w:rFonts w:ascii="Arial" w:hAnsi="Arial" w:cs="Arial"/>
          <w:b/>
          <w:bCs/>
          <w:iCs/>
          <w:snapToGrid w:val="0"/>
        </w:rPr>
      </w:pPr>
    </w:p>
    <w:p w14:paraId="72C97B3B" w14:textId="77777777" w:rsidR="005355FD" w:rsidRPr="00BF58DC" w:rsidRDefault="005355FD" w:rsidP="00C71115">
      <w:pPr>
        <w:jc w:val="both"/>
        <w:rPr>
          <w:rFonts w:ascii="Arial" w:hAnsi="Arial" w:cs="Arial"/>
          <w:b/>
          <w:bCs/>
          <w:iCs/>
          <w:snapToGrid w:val="0"/>
        </w:rPr>
      </w:pPr>
      <w:r w:rsidRPr="00BF58DC">
        <w:rPr>
          <w:rFonts w:ascii="Arial" w:hAnsi="Arial" w:cs="Arial"/>
          <w:b/>
          <w:bCs/>
          <w:iCs/>
          <w:snapToGrid w:val="0"/>
        </w:rPr>
        <w:t>Delibera:</w:t>
      </w:r>
    </w:p>
    <w:p w14:paraId="36896FDC" w14:textId="165E3DB7" w:rsidR="005355FD" w:rsidRPr="00BF58DC" w:rsidRDefault="005355FD" w:rsidP="00C71115">
      <w:pPr>
        <w:spacing w:after="120"/>
        <w:jc w:val="both"/>
        <w:rPr>
          <w:rFonts w:ascii="Arial" w:hAnsi="Arial" w:cs="Arial"/>
          <w:snapToGrid w:val="0"/>
        </w:rPr>
      </w:pPr>
      <w:r w:rsidRPr="00BF58DC">
        <w:rPr>
          <w:rFonts w:ascii="Arial" w:hAnsi="Arial" w:cs="Arial"/>
          <w:b/>
          <w:snapToGrid w:val="0"/>
        </w:rPr>
        <w:t xml:space="preserve">Artigo 1° - </w:t>
      </w:r>
      <w:r w:rsidRPr="00BF58DC">
        <w:rPr>
          <w:rFonts w:ascii="Arial" w:hAnsi="Arial" w:cs="Arial"/>
          <w:snapToGrid w:val="0"/>
        </w:rPr>
        <w:t>Fica aprovado o documento anexo “</w:t>
      </w:r>
      <w:r w:rsidR="00C06696">
        <w:rPr>
          <w:rFonts w:ascii="Arial" w:hAnsi="Arial" w:cs="Arial"/>
          <w:snapToGrid w:val="0"/>
        </w:rPr>
        <w:t>Nota Técnica sobre o atendimento do a</w:t>
      </w:r>
      <w:r w:rsidR="004B6C10">
        <w:rPr>
          <w:rFonts w:ascii="Arial" w:hAnsi="Arial" w:cs="Arial"/>
          <w:snapToGrid w:val="0"/>
        </w:rPr>
        <w:t>r</w:t>
      </w:r>
      <w:r w:rsidR="00C06696">
        <w:rPr>
          <w:rFonts w:ascii="Arial" w:hAnsi="Arial" w:cs="Arial"/>
          <w:snapToGrid w:val="0"/>
        </w:rPr>
        <w:t xml:space="preserve">tigo </w:t>
      </w:r>
      <w:r w:rsidR="004B6C10">
        <w:rPr>
          <w:rFonts w:ascii="Arial" w:hAnsi="Arial" w:cs="Arial"/>
          <w:snapToGrid w:val="0"/>
        </w:rPr>
        <w:t>11</w:t>
      </w:r>
      <w:r w:rsidR="00C06696">
        <w:rPr>
          <w:rFonts w:ascii="Arial" w:hAnsi="Arial" w:cs="Arial"/>
          <w:snapToGrid w:val="0"/>
        </w:rPr>
        <w:t>° da Resolução Conjunta ANA/DAEE n° 926/2017</w:t>
      </w:r>
    </w:p>
    <w:p w14:paraId="51951447" w14:textId="13544798" w:rsidR="005355FD" w:rsidRPr="000D6007" w:rsidRDefault="005355FD" w:rsidP="00C71115">
      <w:pPr>
        <w:spacing w:after="120"/>
        <w:jc w:val="both"/>
        <w:rPr>
          <w:rFonts w:ascii="Arial" w:hAnsi="Arial" w:cs="Arial"/>
          <w:snapToGrid w:val="0"/>
        </w:rPr>
      </w:pPr>
      <w:r w:rsidRPr="00BF58DC">
        <w:rPr>
          <w:rFonts w:ascii="Arial" w:hAnsi="Arial" w:cs="Arial"/>
          <w:b/>
          <w:snapToGrid w:val="0"/>
        </w:rPr>
        <w:t>Parágrafo único</w:t>
      </w:r>
      <w:r w:rsidR="00505A41" w:rsidRPr="00BF58DC">
        <w:rPr>
          <w:rFonts w:ascii="Arial" w:hAnsi="Arial" w:cs="Arial"/>
          <w:b/>
          <w:snapToGrid w:val="0"/>
        </w:rPr>
        <w:t>.</w:t>
      </w:r>
      <w:r w:rsidRPr="00BF58DC">
        <w:rPr>
          <w:rFonts w:ascii="Arial" w:hAnsi="Arial" w:cs="Arial"/>
          <w:b/>
          <w:snapToGrid w:val="0"/>
        </w:rPr>
        <w:t xml:space="preserve"> </w:t>
      </w:r>
      <w:r w:rsidR="00150B5D" w:rsidRPr="00BF58DC">
        <w:rPr>
          <w:rFonts w:ascii="Arial" w:hAnsi="Arial" w:cs="Arial"/>
          <w:snapToGrid w:val="0"/>
        </w:rPr>
        <w:t>A Secretaria Executiv</w:t>
      </w:r>
      <w:r w:rsidR="00C71115">
        <w:rPr>
          <w:rFonts w:ascii="Arial" w:hAnsi="Arial" w:cs="Arial"/>
          <w:snapToGrid w:val="0"/>
        </w:rPr>
        <w:t>a encaminhará esta deliberação a</w:t>
      </w:r>
      <w:r w:rsidR="00150B5D" w:rsidRPr="00BF58DC">
        <w:rPr>
          <w:rFonts w:ascii="Arial" w:hAnsi="Arial" w:cs="Arial"/>
          <w:snapToGrid w:val="0"/>
        </w:rPr>
        <w:t xml:space="preserve"> </w:t>
      </w:r>
      <w:r w:rsidR="00C71115">
        <w:rPr>
          <w:rFonts w:ascii="Arial" w:hAnsi="Arial" w:cs="Arial"/>
          <w:snapToGrid w:val="0"/>
        </w:rPr>
        <w:t>ANA/DAEE</w:t>
      </w:r>
    </w:p>
    <w:p w14:paraId="4C0FE69C" w14:textId="546E80B5" w:rsidR="0045680A" w:rsidRDefault="005355FD" w:rsidP="00C71115">
      <w:pPr>
        <w:spacing w:after="120"/>
        <w:jc w:val="both"/>
        <w:rPr>
          <w:rFonts w:ascii="Arial" w:hAnsi="Arial" w:cs="Arial"/>
        </w:rPr>
      </w:pPr>
      <w:r w:rsidRPr="000D6007">
        <w:rPr>
          <w:rFonts w:ascii="Arial" w:hAnsi="Arial" w:cs="Arial"/>
          <w:b/>
          <w:snapToGrid w:val="0"/>
        </w:rPr>
        <w:t>Artigo 3º -</w:t>
      </w:r>
      <w:r w:rsidRPr="000D6007">
        <w:rPr>
          <w:rFonts w:ascii="Arial" w:hAnsi="Arial" w:cs="Arial"/>
          <w:snapToGrid w:val="0"/>
        </w:rPr>
        <w:t xml:space="preserve"> Esta deliberação entrará em vigor na data de sua publicação no Diário Oficial do Estado.</w:t>
      </w:r>
      <w:r w:rsidR="0045680A" w:rsidRPr="003A7958">
        <w:rPr>
          <w:rFonts w:ascii="Arial" w:hAnsi="Arial" w:cs="Arial"/>
        </w:rPr>
        <w:t xml:space="preserve">                                    </w:t>
      </w:r>
      <w:r w:rsidR="0045680A">
        <w:rPr>
          <w:rFonts w:ascii="Arial" w:hAnsi="Arial" w:cs="Arial"/>
        </w:rPr>
        <w:t xml:space="preserve">                               </w:t>
      </w:r>
    </w:p>
    <w:p w14:paraId="39DBB747" w14:textId="77777777" w:rsidR="0045680A" w:rsidRDefault="0045680A" w:rsidP="0045680A">
      <w:pPr>
        <w:spacing w:afterLines="120" w:after="288" w:line="240" w:lineRule="auto"/>
        <w:jc w:val="both"/>
        <w:rPr>
          <w:rFonts w:ascii="Arial" w:hAnsi="Arial" w:cs="Arial"/>
          <w:b/>
          <w:snapToGrid w:val="0"/>
        </w:rPr>
      </w:pPr>
    </w:p>
    <w:p w14:paraId="0A0A728B" w14:textId="77777777" w:rsidR="00FE4012" w:rsidRDefault="00FE4012" w:rsidP="0045680A">
      <w:pPr>
        <w:spacing w:afterLines="120" w:after="288" w:line="240" w:lineRule="auto"/>
        <w:jc w:val="both"/>
        <w:rPr>
          <w:rFonts w:ascii="Arial" w:hAnsi="Arial" w:cs="Arial"/>
          <w:b/>
          <w:snapToGrid w:val="0"/>
        </w:rPr>
      </w:pPr>
    </w:p>
    <w:p w14:paraId="54B535D5" w14:textId="77777777" w:rsidR="004B6C10" w:rsidRDefault="004B6C10" w:rsidP="0045680A">
      <w:pPr>
        <w:spacing w:afterLines="120" w:after="288" w:line="240" w:lineRule="auto"/>
        <w:jc w:val="both"/>
        <w:rPr>
          <w:rFonts w:ascii="Arial" w:hAnsi="Arial" w:cs="Arial"/>
          <w:b/>
          <w:snapToGrid w:val="0"/>
        </w:rPr>
      </w:pPr>
    </w:p>
    <w:p w14:paraId="46DF2191" w14:textId="77777777" w:rsidR="004B6C10" w:rsidRDefault="004B6C10" w:rsidP="0045680A">
      <w:pPr>
        <w:spacing w:afterLines="120" w:after="288" w:line="240" w:lineRule="auto"/>
        <w:jc w:val="both"/>
        <w:rPr>
          <w:rFonts w:ascii="Arial" w:hAnsi="Arial" w:cs="Arial"/>
          <w:b/>
          <w:snapToGrid w:val="0"/>
        </w:rPr>
      </w:pPr>
    </w:p>
    <w:p w14:paraId="234B513C" w14:textId="77777777" w:rsidR="00C71115" w:rsidRDefault="00C71115" w:rsidP="0045680A">
      <w:pPr>
        <w:spacing w:afterLines="120" w:after="288" w:line="240" w:lineRule="auto"/>
        <w:jc w:val="both"/>
        <w:rPr>
          <w:rFonts w:ascii="Arial" w:hAnsi="Arial" w:cs="Arial"/>
          <w:b/>
          <w:snapToGrid w:val="0"/>
        </w:rPr>
      </w:pPr>
    </w:p>
    <w:p w14:paraId="1B783B6C" w14:textId="77777777" w:rsidR="00C71115" w:rsidRDefault="00C71115" w:rsidP="0045680A">
      <w:pPr>
        <w:spacing w:afterLines="120" w:after="288" w:line="240" w:lineRule="auto"/>
        <w:jc w:val="both"/>
        <w:rPr>
          <w:rFonts w:ascii="Arial" w:hAnsi="Arial" w:cs="Arial"/>
          <w:b/>
          <w:snapToGrid w:val="0"/>
        </w:rPr>
      </w:pPr>
    </w:p>
    <w:p w14:paraId="4DD8FFE8" w14:textId="77777777" w:rsidR="00FE4012" w:rsidRDefault="00FE4012" w:rsidP="0045680A">
      <w:pPr>
        <w:spacing w:afterLines="120" w:after="288" w:line="240" w:lineRule="auto"/>
        <w:jc w:val="both"/>
        <w:rPr>
          <w:rFonts w:ascii="Arial" w:hAnsi="Arial" w:cs="Arial"/>
          <w:b/>
          <w:snapToGrid w:val="0"/>
        </w:rPr>
      </w:pPr>
    </w:p>
    <w:p w14:paraId="1383DFD0" w14:textId="77777777" w:rsidR="00C06696" w:rsidRDefault="00C06696" w:rsidP="00150B5D">
      <w:pPr>
        <w:jc w:val="center"/>
        <w:rPr>
          <w:b/>
          <w:sz w:val="28"/>
          <w:szCs w:val="28"/>
          <w:lang w:eastAsia="en-US"/>
        </w:rPr>
      </w:pPr>
    </w:p>
    <w:p w14:paraId="00BA516D" w14:textId="05B927D0" w:rsidR="00601A42" w:rsidRPr="00D6272C" w:rsidRDefault="00601A42" w:rsidP="00601A42">
      <w:pPr>
        <w:spacing w:after="120" w:line="240" w:lineRule="auto"/>
        <w:jc w:val="center"/>
        <w:rPr>
          <w:rFonts w:eastAsia="MS Mincho" w:cs="Times New Roman"/>
          <w:b/>
          <w:sz w:val="28"/>
          <w:szCs w:val="28"/>
          <w:lang w:eastAsia="en-US"/>
        </w:rPr>
      </w:pPr>
      <w:r w:rsidRPr="00D6272C">
        <w:rPr>
          <w:rFonts w:eastAsia="MS Mincho" w:cs="Times New Roman"/>
          <w:b/>
          <w:sz w:val="28"/>
          <w:szCs w:val="28"/>
          <w:lang w:eastAsia="en-US"/>
        </w:rPr>
        <w:lastRenderedPageBreak/>
        <w:t xml:space="preserve">Anexo à Deliberação CBH-AT n° XX de </w:t>
      </w:r>
      <w:proofErr w:type="spellStart"/>
      <w:r w:rsidR="00D6272C" w:rsidRPr="00D6272C">
        <w:rPr>
          <w:rFonts w:eastAsia="MS Mincho" w:cs="Times New Roman"/>
          <w:b/>
          <w:sz w:val="28"/>
          <w:szCs w:val="28"/>
          <w:lang w:eastAsia="en-US"/>
        </w:rPr>
        <w:t>xx</w:t>
      </w:r>
      <w:proofErr w:type="spellEnd"/>
      <w:r w:rsidRPr="00D6272C">
        <w:rPr>
          <w:rFonts w:eastAsia="MS Mincho" w:cs="Times New Roman"/>
          <w:b/>
          <w:sz w:val="28"/>
          <w:szCs w:val="28"/>
          <w:lang w:eastAsia="en-US"/>
        </w:rPr>
        <w:t xml:space="preserve"> de setembro de 2018</w:t>
      </w:r>
    </w:p>
    <w:p w14:paraId="700B97E9" w14:textId="77777777" w:rsidR="00601A42" w:rsidRPr="00D6272C" w:rsidRDefault="00601A42" w:rsidP="00601A42">
      <w:pPr>
        <w:spacing w:after="120" w:line="240" w:lineRule="auto"/>
        <w:jc w:val="center"/>
        <w:rPr>
          <w:rFonts w:eastAsia="MS Mincho" w:cs="Times New Roman"/>
          <w:b/>
          <w:sz w:val="28"/>
          <w:szCs w:val="28"/>
          <w:lang w:eastAsia="en-US"/>
        </w:rPr>
      </w:pPr>
    </w:p>
    <w:p w14:paraId="06D285D0" w14:textId="77777777" w:rsidR="00601A42" w:rsidRPr="00D6272C" w:rsidRDefault="00601A42" w:rsidP="00601A42">
      <w:pPr>
        <w:shd w:val="clear" w:color="auto" w:fill="D9D9D9"/>
        <w:spacing w:after="0" w:line="240" w:lineRule="auto"/>
        <w:jc w:val="center"/>
        <w:rPr>
          <w:rFonts w:eastAsia="MS Mincho" w:cs="Times New Roman"/>
          <w:b/>
          <w:sz w:val="28"/>
          <w:szCs w:val="28"/>
          <w:lang w:eastAsia="en-US"/>
        </w:rPr>
      </w:pPr>
      <w:r w:rsidRPr="00D6272C">
        <w:rPr>
          <w:rFonts w:eastAsia="MS Mincho" w:cs="Times New Roman"/>
          <w:b/>
          <w:sz w:val="28"/>
          <w:szCs w:val="28"/>
          <w:lang w:eastAsia="en-US"/>
        </w:rPr>
        <w:t>CTMH - Câmara Técnica de Monitoramento Hidrológico</w:t>
      </w:r>
    </w:p>
    <w:p w14:paraId="55642D6A" w14:textId="77777777" w:rsidR="00601A42" w:rsidRPr="00D6272C" w:rsidRDefault="00601A42" w:rsidP="00601A42">
      <w:pPr>
        <w:shd w:val="clear" w:color="auto" w:fill="D9D9D9"/>
        <w:spacing w:before="240" w:after="0" w:line="240" w:lineRule="auto"/>
        <w:jc w:val="center"/>
        <w:rPr>
          <w:rFonts w:eastAsia="MS Mincho" w:cs="Times New Roman"/>
          <w:b/>
          <w:sz w:val="28"/>
          <w:szCs w:val="28"/>
          <w:lang w:eastAsia="en-US"/>
        </w:rPr>
      </w:pPr>
      <w:r w:rsidRPr="00D6272C">
        <w:rPr>
          <w:rFonts w:eastAsia="MS Mincho" w:cs="Times New Roman"/>
          <w:b/>
          <w:sz w:val="28"/>
          <w:szCs w:val="28"/>
          <w:lang w:eastAsia="en-US"/>
        </w:rPr>
        <w:t>Nota Técnica</w:t>
      </w:r>
    </w:p>
    <w:p w14:paraId="7F2F3154" w14:textId="77777777" w:rsidR="00601A42" w:rsidRPr="00D6272C" w:rsidRDefault="00601A42" w:rsidP="00601A42">
      <w:pPr>
        <w:shd w:val="clear" w:color="auto" w:fill="D9D9D9"/>
        <w:spacing w:after="0" w:line="240" w:lineRule="auto"/>
        <w:jc w:val="center"/>
        <w:rPr>
          <w:rFonts w:eastAsia="MS Mincho" w:cs="Times New Roman"/>
          <w:b/>
          <w:sz w:val="28"/>
          <w:szCs w:val="28"/>
          <w:lang w:eastAsia="en-US"/>
        </w:rPr>
      </w:pPr>
      <w:r w:rsidRPr="00D6272C">
        <w:rPr>
          <w:rFonts w:eastAsia="MS Mincho" w:cs="Times New Roman"/>
          <w:b/>
          <w:sz w:val="28"/>
          <w:szCs w:val="28"/>
          <w:lang w:eastAsia="en-US"/>
        </w:rPr>
        <w:t>03-agosto-2018</w:t>
      </w:r>
    </w:p>
    <w:p w14:paraId="508468BD" w14:textId="77777777" w:rsidR="00601A42" w:rsidRPr="00D6272C" w:rsidRDefault="00601A42" w:rsidP="00601A42">
      <w:pPr>
        <w:shd w:val="clear" w:color="auto" w:fill="D9D9D9"/>
        <w:spacing w:after="0" w:line="240" w:lineRule="auto"/>
        <w:jc w:val="center"/>
        <w:rPr>
          <w:rFonts w:eastAsia="MS Mincho" w:cs="Times New Roman"/>
          <w:b/>
          <w:sz w:val="28"/>
          <w:szCs w:val="28"/>
          <w:lang w:eastAsia="en-US"/>
        </w:rPr>
      </w:pPr>
    </w:p>
    <w:p w14:paraId="02B2F301" w14:textId="77777777" w:rsidR="00601A42" w:rsidRPr="00D6272C" w:rsidRDefault="00601A42" w:rsidP="00601A42">
      <w:pPr>
        <w:shd w:val="clear" w:color="auto" w:fill="D9D9D9"/>
        <w:spacing w:after="0" w:line="240" w:lineRule="auto"/>
        <w:jc w:val="center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>Subsídios para a manifestação do CBH - Alto Tietê sobre o atendimento do Artigo 11 da Resolução Conjunta ANA/DAEE n</w:t>
      </w:r>
      <w:r w:rsidRPr="00D6272C">
        <w:rPr>
          <w:rFonts w:eastAsia="MS Mincho" w:cs="Times New Roman"/>
          <w:sz w:val="28"/>
          <w:szCs w:val="28"/>
          <w:vertAlign w:val="superscript"/>
          <w:lang w:eastAsia="en-US"/>
        </w:rPr>
        <w:t>o</w:t>
      </w:r>
      <w:r w:rsidRPr="00D6272C">
        <w:rPr>
          <w:rFonts w:eastAsia="MS Mincho" w:cs="Times New Roman"/>
          <w:sz w:val="28"/>
          <w:szCs w:val="28"/>
          <w:lang w:eastAsia="en-US"/>
        </w:rPr>
        <w:t xml:space="preserve"> 926/2017</w:t>
      </w:r>
    </w:p>
    <w:p w14:paraId="262126C3" w14:textId="77777777" w:rsidR="00601A42" w:rsidRPr="00D6272C" w:rsidRDefault="00601A42" w:rsidP="00601A42">
      <w:pPr>
        <w:shd w:val="clear" w:color="auto" w:fill="D9D9D9"/>
        <w:spacing w:after="120" w:line="240" w:lineRule="auto"/>
        <w:jc w:val="center"/>
        <w:rPr>
          <w:rFonts w:eastAsia="MS Mincho" w:cs="Times New Roman"/>
          <w:sz w:val="28"/>
          <w:szCs w:val="28"/>
          <w:lang w:eastAsia="en-US"/>
        </w:rPr>
      </w:pPr>
    </w:p>
    <w:p w14:paraId="60D8BF90" w14:textId="77777777" w:rsidR="00601A42" w:rsidRPr="00D6272C" w:rsidRDefault="00601A42" w:rsidP="00601A42">
      <w:pPr>
        <w:spacing w:after="120" w:line="240" w:lineRule="auto"/>
        <w:jc w:val="center"/>
        <w:rPr>
          <w:rFonts w:eastAsia="MS Mincho" w:cs="Times New Roman"/>
          <w:b/>
          <w:sz w:val="28"/>
          <w:szCs w:val="28"/>
          <w:lang w:eastAsia="en-US"/>
        </w:rPr>
      </w:pPr>
    </w:p>
    <w:p w14:paraId="7639D50B" w14:textId="77777777" w:rsidR="00601A42" w:rsidRPr="00D6272C" w:rsidRDefault="00601A42" w:rsidP="00601A42">
      <w:pPr>
        <w:spacing w:after="120" w:line="240" w:lineRule="auto"/>
        <w:jc w:val="both"/>
        <w:rPr>
          <w:rFonts w:eastAsia="MS Mincho" w:cs="Times New Roman"/>
          <w:sz w:val="28"/>
          <w:szCs w:val="28"/>
          <w:lang w:eastAsia="en-US"/>
        </w:rPr>
      </w:pPr>
    </w:p>
    <w:p w14:paraId="23AF101E" w14:textId="77777777" w:rsidR="00601A42" w:rsidRPr="00D6272C" w:rsidRDefault="00601A42" w:rsidP="00601A42">
      <w:pPr>
        <w:tabs>
          <w:tab w:val="right" w:leader="dot" w:pos="9486"/>
        </w:tabs>
        <w:spacing w:after="120" w:line="240" w:lineRule="auto"/>
        <w:ind w:left="397" w:hanging="397"/>
        <w:rPr>
          <w:rFonts w:eastAsia="Times New Roman" w:cs="Times New Roman"/>
          <w:b/>
          <w:noProof/>
          <w:sz w:val="28"/>
          <w:szCs w:val="28"/>
        </w:rPr>
      </w:pPr>
      <w:r w:rsidRPr="00D6272C">
        <w:rPr>
          <w:rFonts w:eastAsia="MS Mincho" w:cs="Times New Roman"/>
          <w:b/>
          <w:noProof/>
          <w:sz w:val="28"/>
          <w:szCs w:val="28"/>
          <w:lang w:eastAsia="en-US"/>
        </w:rPr>
        <w:fldChar w:fldCharType="begin"/>
      </w:r>
      <w:r w:rsidRPr="00D6272C">
        <w:rPr>
          <w:rFonts w:eastAsia="MS Mincho" w:cs="Times New Roman"/>
          <w:b/>
          <w:noProof/>
          <w:sz w:val="28"/>
          <w:szCs w:val="28"/>
          <w:lang w:eastAsia="en-US"/>
        </w:rPr>
        <w:instrText xml:space="preserve"> TOC \o "2-3" \h \z \t "Título 1;1" </w:instrText>
      </w:r>
      <w:r w:rsidRPr="00D6272C">
        <w:rPr>
          <w:rFonts w:eastAsia="MS Mincho" w:cs="Times New Roman"/>
          <w:b/>
          <w:noProof/>
          <w:sz w:val="28"/>
          <w:szCs w:val="28"/>
          <w:lang w:eastAsia="en-US"/>
        </w:rPr>
        <w:fldChar w:fldCharType="separate"/>
      </w:r>
      <w:hyperlink w:anchor="_Toc519069547" w:history="1">
        <w:r w:rsidRPr="00D6272C">
          <w:rPr>
            <w:rFonts w:eastAsia="MS Mincho" w:cs="Times New Roman"/>
            <w:b/>
            <w:noProof/>
            <w:sz w:val="28"/>
            <w:szCs w:val="28"/>
            <w:lang w:eastAsia="en-US"/>
          </w:rPr>
          <w:t>1. Histórico</w:t>
        </w:r>
        <w:r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tab/>
        </w:r>
        <w:r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fldChar w:fldCharType="begin"/>
        </w:r>
        <w:r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instrText xml:space="preserve"> PAGEREF _Toc519069547 \h </w:instrText>
        </w:r>
        <w:r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</w:r>
        <w:r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fldChar w:fldCharType="separate"/>
        </w:r>
        <w:r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t>2</w:t>
        </w:r>
        <w:r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fldChar w:fldCharType="end"/>
        </w:r>
      </w:hyperlink>
    </w:p>
    <w:p w14:paraId="0E0A11F6" w14:textId="77777777" w:rsidR="00601A42" w:rsidRPr="00D6272C" w:rsidRDefault="00105F21" w:rsidP="00601A42">
      <w:pPr>
        <w:tabs>
          <w:tab w:val="right" w:leader="dot" w:pos="9486"/>
        </w:tabs>
        <w:spacing w:after="120" w:line="240" w:lineRule="auto"/>
        <w:ind w:left="397" w:hanging="397"/>
        <w:rPr>
          <w:rFonts w:eastAsia="Times New Roman" w:cs="Times New Roman"/>
          <w:b/>
          <w:noProof/>
          <w:sz w:val="28"/>
          <w:szCs w:val="28"/>
        </w:rPr>
      </w:pPr>
      <w:hyperlink w:anchor="_Toc519069548" w:history="1">
        <w:r w:rsidR="00601A42" w:rsidRPr="00D6272C">
          <w:rPr>
            <w:rFonts w:eastAsia="MS Mincho" w:cs="Times New Roman"/>
            <w:b/>
            <w:noProof/>
            <w:sz w:val="28"/>
            <w:szCs w:val="28"/>
            <w:lang w:eastAsia="en-US"/>
          </w:rPr>
          <w:t>2. Apreciação sobre o relatório da SABESP em atendimento ao artigo 11º</w:t>
        </w:r>
        <w:r w:rsidR="00601A42"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tab/>
        </w:r>
        <w:r w:rsidR="00601A42"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fldChar w:fldCharType="begin"/>
        </w:r>
        <w:r w:rsidR="00601A42"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instrText xml:space="preserve"> PAGEREF _Toc519069548 \h </w:instrText>
        </w:r>
        <w:r w:rsidR="00601A42"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</w:r>
        <w:r w:rsidR="00601A42"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fldChar w:fldCharType="separate"/>
        </w:r>
        <w:r w:rsidR="00601A42"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t>4</w:t>
        </w:r>
        <w:r w:rsidR="00601A42" w:rsidRPr="00D6272C">
          <w:rPr>
            <w:rFonts w:eastAsia="MS Mincho" w:cs="Times New Roman"/>
            <w:b/>
            <w:noProof/>
            <w:webHidden/>
            <w:sz w:val="28"/>
            <w:szCs w:val="28"/>
            <w:lang w:eastAsia="en-US"/>
          </w:rPr>
          <w:fldChar w:fldCharType="end"/>
        </w:r>
      </w:hyperlink>
    </w:p>
    <w:p w14:paraId="335FD3A6" w14:textId="77777777" w:rsidR="00601A42" w:rsidRPr="00D6272C" w:rsidRDefault="00105F21" w:rsidP="00601A42">
      <w:pPr>
        <w:tabs>
          <w:tab w:val="right" w:leader="dot" w:pos="9486"/>
        </w:tabs>
        <w:spacing w:after="0" w:line="240" w:lineRule="auto"/>
        <w:ind w:left="681" w:hanging="397"/>
        <w:rPr>
          <w:rFonts w:eastAsia="Times New Roman" w:cs="Times New Roman"/>
          <w:noProof/>
          <w:sz w:val="28"/>
          <w:szCs w:val="28"/>
        </w:rPr>
      </w:pPr>
      <w:hyperlink w:anchor="_Toc519069549" w:history="1">
        <w:r w:rsidR="00601A42" w:rsidRPr="00D6272C">
          <w:rPr>
            <w:rFonts w:eastAsia="Calibri" w:cs="Times New Roman"/>
            <w:noProof/>
            <w:sz w:val="28"/>
            <w:szCs w:val="28"/>
          </w:rPr>
          <w:t>2.1. Introdução</w:t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tab/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fldChar w:fldCharType="begin"/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instrText xml:space="preserve"> PAGEREF _Toc519069549 \h </w:instrText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fldChar w:fldCharType="separate"/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t>4</w:t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7E475381" w14:textId="77777777" w:rsidR="00601A42" w:rsidRPr="00D6272C" w:rsidRDefault="00105F21" w:rsidP="00601A42">
      <w:pPr>
        <w:tabs>
          <w:tab w:val="right" w:leader="dot" w:pos="9486"/>
        </w:tabs>
        <w:spacing w:after="0" w:line="240" w:lineRule="auto"/>
        <w:ind w:left="681" w:hanging="397"/>
        <w:rPr>
          <w:rFonts w:eastAsia="Times New Roman" w:cs="Times New Roman"/>
          <w:noProof/>
          <w:sz w:val="28"/>
          <w:szCs w:val="28"/>
        </w:rPr>
      </w:pPr>
      <w:hyperlink w:anchor="_Toc519069550" w:history="1">
        <w:r w:rsidR="00601A42" w:rsidRPr="00D6272C">
          <w:rPr>
            <w:rFonts w:eastAsia="Calibri" w:cs="Times New Roman"/>
            <w:noProof/>
            <w:sz w:val="28"/>
            <w:szCs w:val="28"/>
          </w:rPr>
          <w:t xml:space="preserve">2.2. Síntese dos principais tópicos do relatório da SABESP </w:t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tab/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fldChar w:fldCharType="begin"/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instrText xml:space="preserve"> PAGEREF _Toc519069550 \h </w:instrText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fldChar w:fldCharType="separate"/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t>4</w:t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fldChar w:fldCharType="end"/>
        </w:r>
      </w:hyperlink>
    </w:p>
    <w:p w14:paraId="115B71A7" w14:textId="77777777" w:rsidR="00601A42" w:rsidRPr="00D6272C" w:rsidRDefault="00601A42" w:rsidP="00601A42">
      <w:pPr>
        <w:spacing w:after="0" w:line="120" w:lineRule="auto"/>
        <w:ind w:left="397" w:hanging="397"/>
        <w:rPr>
          <w:rFonts w:eastAsia="MS Mincho" w:cs="Times New Roman"/>
          <w:sz w:val="28"/>
          <w:szCs w:val="28"/>
          <w:lang w:eastAsia="en-US"/>
        </w:rPr>
      </w:pPr>
    </w:p>
    <w:p w14:paraId="7C23DBD2" w14:textId="77777777" w:rsidR="00601A42" w:rsidRPr="00D6272C" w:rsidRDefault="00105F21" w:rsidP="00601A42">
      <w:pPr>
        <w:tabs>
          <w:tab w:val="right" w:leader="dot" w:pos="9486"/>
        </w:tabs>
        <w:spacing w:after="0" w:line="240" w:lineRule="auto"/>
        <w:rPr>
          <w:rFonts w:eastAsia="Times New Roman" w:cs="Times New Roman"/>
          <w:noProof/>
          <w:sz w:val="28"/>
          <w:szCs w:val="28"/>
        </w:rPr>
      </w:pPr>
      <w:hyperlink w:anchor="_Toc519069557" w:history="1">
        <w:r w:rsidR="00601A42" w:rsidRPr="00D6272C">
          <w:rPr>
            <w:rFonts w:eastAsia="Calibri" w:cs="Times New Roman"/>
            <w:b/>
            <w:noProof/>
            <w:sz w:val="28"/>
            <w:szCs w:val="28"/>
          </w:rPr>
          <w:t>3. Conclusão</w:t>
        </w:r>
        <w:r w:rsidR="00601A42" w:rsidRPr="00D6272C">
          <w:rPr>
            <w:rFonts w:eastAsia="Calibri" w:cs="Times New Roman"/>
            <w:noProof/>
            <w:webHidden/>
            <w:sz w:val="28"/>
            <w:szCs w:val="28"/>
          </w:rPr>
          <w:tab/>
        </w:r>
        <w:r w:rsidR="00601A42" w:rsidRPr="00D6272C">
          <w:rPr>
            <w:rFonts w:eastAsia="Calibri" w:cs="Times New Roman"/>
            <w:b/>
            <w:noProof/>
            <w:webHidden/>
            <w:sz w:val="28"/>
            <w:szCs w:val="28"/>
          </w:rPr>
          <w:t>5</w:t>
        </w:r>
      </w:hyperlink>
    </w:p>
    <w:p w14:paraId="06B5046C" w14:textId="77777777" w:rsidR="00601A42" w:rsidRPr="00D6272C" w:rsidRDefault="00601A42" w:rsidP="00601A42">
      <w:pPr>
        <w:autoSpaceDE w:val="0"/>
        <w:autoSpaceDN w:val="0"/>
        <w:adjustRightInd w:val="0"/>
        <w:spacing w:after="240" w:line="240" w:lineRule="auto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fldChar w:fldCharType="end"/>
      </w:r>
    </w:p>
    <w:p w14:paraId="697763E5" w14:textId="77777777" w:rsidR="00601A42" w:rsidRPr="00D6272C" w:rsidRDefault="00601A42" w:rsidP="00601A42">
      <w:pPr>
        <w:autoSpaceDE w:val="0"/>
        <w:autoSpaceDN w:val="0"/>
        <w:adjustRightInd w:val="0"/>
        <w:spacing w:after="120" w:line="240" w:lineRule="auto"/>
        <w:rPr>
          <w:rFonts w:eastAsia="MS Mincho" w:cs="Times New Roman"/>
          <w:bCs/>
          <w:sz w:val="28"/>
          <w:szCs w:val="28"/>
        </w:rPr>
      </w:pPr>
    </w:p>
    <w:p w14:paraId="24403F08" w14:textId="0B0C9A81" w:rsidR="00601A42" w:rsidRPr="00D6272C" w:rsidRDefault="00D6272C" w:rsidP="00D6272C">
      <w:pPr>
        <w:keepNext/>
        <w:pageBreakBefore/>
        <w:spacing w:after="360" w:line="240" w:lineRule="auto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0" w:name="_Toc507688636"/>
      <w:bookmarkStart w:id="1" w:name="_Toc519069547"/>
      <w:bookmarkStart w:id="2" w:name="_GoBack"/>
      <w:bookmarkEnd w:id="2"/>
      <w:r w:rsidRPr="00D6272C">
        <w:rPr>
          <w:rFonts w:eastAsia="Times New Roman" w:cs="Times New Roman"/>
          <w:b/>
          <w:bCs/>
          <w:kern w:val="32"/>
          <w:sz w:val="28"/>
          <w:szCs w:val="28"/>
        </w:rPr>
        <w:lastRenderedPageBreak/>
        <w:t xml:space="preserve">1. </w:t>
      </w:r>
      <w:r w:rsidR="00601A42" w:rsidRPr="00D6272C">
        <w:rPr>
          <w:rFonts w:eastAsia="Times New Roman" w:cs="Times New Roman"/>
          <w:b/>
          <w:bCs/>
          <w:kern w:val="32"/>
          <w:sz w:val="28"/>
          <w:szCs w:val="28"/>
        </w:rPr>
        <w:t>Histórico</w:t>
      </w:r>
      <w:bookmarkEnd w:id="0"/>
      <w:bookmarkEnd w:id="1"/>
      <w:r w:rsidR="00601A42" w:rsidRPr="00D6272C">
        <w:rPr>
          <w:rFonts w:eastAsia="Times New Roman" w:cs="Times New Roman"/>
          <w:b/>
          <w:bCs/>
          <w:kern w:val="32"/>
          <w:sz w:val="28"/>
          <w:szCs w:val="28"/>
        </w:rPr>
        <w:t xml:space="preserve"> </w:t>
      </w:r>
    </w:p>
    <w:p w14:paraId="4FBECC87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  <w:lang w:val="x-none"/>
        </w:rPr>
        <w:t xml:space="preserve">A </w:t>
      </w:r>
      <w:r w:rsidRPr="00D6272C">
        <w:rPr>
          <w:rFonts w:eastAsia="MS Mincho" w:cs="Times New Roman"/>
          <w:sz w:val="28"/>
          <w:szCs w:val="28"/>
        </w:rPr>
        <w:t xml:space="preserve">primeira 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autorização </w:t>
      </w:r>
      <w:r w:rsidRPr="00D6272C">
        <w:rPr>
          <w:rFonts w:eastAsia="MS Mincho" w:cs="Times New Roman"/>
          <w:sz w:val="28"/>
          <w:szCs w:val="28"/>
        </w:rPr>
        <w:t xml:space="preserve">(outorga) 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para </w:t>
      </w:r>
      <w:r w:rsidRPr="00D6272C">
        <w:rPr>
          <w:rFonts w:eastAsia="MS Mincho" w:cs="Times New Roman"/>
          <w:sz w:val="28"/>
          <w:szCs w:val="28"/>
        </w:rPr>
        <w:t xml:space="preserve">que o Sistema Cantareira utilize </w:t>
      </w:r>
      <w:r w:rsidRPr="00D6272C">
        <w:rPr>
          <w:rFonts w:eastAsia="MS Mincho" w:cs="Times New Roman"/>
          <w:sz w:val="28"/>
          <w:szCs w:val="28"/>
          <w:lang w:val="x-none"/>
        </w:rPr>
        <w:t>até 33</w:t>
      </w:r>
      <w:r w:rsidRPr="00D6272C">
        <w:rPr>
          <w:rFonts w:eastAsia="MS Mincho" w:cs="Times New Roman"/>
          <w:sz w:val="28"/>
          <w:szCs w:val="28"/>
        </w:rPr>
        <w:t xml:space="preserve"> </w:t>
      </w:r>
      <w:r w:rsidRPr="00D6272C">
        <w:rPr>
          <w:rFonts w:eastAsia="MS Mincho" w:cs="Times New Roman"/>
          <w:sz w:val="28"/>
          <w:szCs w:val="28"/>
          <w:lang w:val="x-none"/>
        </w:rPr>
        <w:t>m</w:t>
      </w:r>
      <w:r w:rsidRPr="00D6272C">
        <w:rPr>
          <w:rFonts w:eastAsia="MS Mincho" w:cs="Times New Roman"/>
          <w:sz w:val="28"/>
          <w:szCs w:val="28"/>
          <w:vertAlign w:val="superscript"/>
          <w:lang w:val="x-none"/>
        </w:rPr>
        <w:t>3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/s </w:t>
      </w:r>
      <w:r w:rsidRPr="00D6272C">
        <w:rPr>
          <w:rFonts w:eastAsia="MS Mincho" w:cs="Times New Roman"/>
          <w:sz w:val="28"/>
          <w:szCs w:val="28"/>
        </w:rPr>
        <w:t xml:space="preserve">para abastecimento da RMSP </w:t>
      </w:r>
      <w:r w:rsidRPr="00D6272C">
        <w:rPr>
          <w:rFonts w:eastAsia="MS Mincho" w:cs="Times New Roman"/>
          <w:sz w:val="28"/>
          <w:szCs w:val="28"/>
          <w:lang w:val="x-none"/>
        </w:rPr>
        <w:t>foi dada pela Portaria n</w:t>
      </w:r>
      <w:r w:rsidRPr="00D6272C">
        <w:rPr>
          <w:rFonts w:eastAsia="MS Mincho" w:cs="Times New Roman"/>
          <w:sz w:val="28"/>
          <w:szCs w:val="28"/>
          <w:vertAlign w:val="superscript"/>
          <w:lang w:val="x-none"/>
        </w:rPr>
        <w:t>o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 750 do Ministério das</w:t>
      </w:r>
      <w:r w:rsidRPr="00D6272C">
        <w:rPr>
          <w:rFonts w:eastAsia="MS Mincho" w:cs="Times New Roman"/>
          <w:sz w:val="28"/>
          <w:szCs w:val="28"/>
        </w:rPr>
        <w:t xml:space="preserve"> </w:t>
      </w:r>
      <w:r w:rsidRPr="00D6272C">
        <w:rPr>
          <w:rFonts w:eastAsia="MS Mincho" w:cs="Times New Roman"/>
          <w:sz w:val="28"/>
          <w:szCs w:val="28"/>
          <w:lang w:val="x-none"/>
        </w:rPr>
        <w:t>Minas e Energia – MME, publicada em 08 de agosto de 1974, estabelecendo um prazo de 30 anos</w:t>
      </w:r>
      <w:r w:rsidRPr="00D6272C">
        <w:rPr>
          <w:rFonts w:eastAsia="MS Mincho" w:cs="Times New Roman"/>
          <w:sz w:val="28"/>
          <w:szCs w:val="28"/>
        </w:rPr>
        <w:t xml:space="preserve"> </w:t>
      </w:r>
      <w:r w:rsidRPr="00D6272C">
        <w:rPr>
          <w:rFonts w:eastAsia="MS Mincho" w:cs="Times New Roman"/>
          <w:sz w:val="28"/>
          <w:szCs w:val="28"/>
          <w:lang w:val="x-none"/>
        </w:rPr>
        <w:t>de vigência</w:t>
      </w:r>
      <w:r w:rsidRPr="00D6272C">
        <w:rPr>
          <w:rFonts w:eastAsia="MS Mincho" w:cs="Times New Roman"/>
          <w:sz w:val="28"/>
          <w:szCs w:val="28"/>
        </w:rPr>
        <w:t>, ou seja, até agosto de 2004</w:t>
      </w:r>
      <w:r w:rsidRPr="00D6272C">
        <w:rPr>
          <w:rFonts w:eastAsia="MS Mincho" w:cs="Times New Roman"/>
          <w:sz w:val="28"/>
          <w:szCs w:val="28"/>
          <w:lang w:val="x-none"/>
        </w:rPr>
        <w:t>.</w:t>
      </w:r>
    </w:p>
    <w:p w14:paraId="65B940D7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Em agosto de 2004 – após inúmeras discussões envolvendo principalmente os integrantes do Comitê de Bacia PCJ – a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 outorga à Sabesp foi </w:t>
      </w:r>
      <w:r w:rsidRPr="00D6272C">
        <w:rPr>
          <w:rFonts w:eastAsia="MS Mincho" w:cs="Times New Roman"/>
          <w:sz w:val="28"/>
          <w:szCs w:val="28"/>
        </w:rPr>
        <w:t>renovada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 pelo DAEE </w:t>
      </w:r>
      <w:r w:rsidRPr="00D6272C">
        <w:rPr>
          <w:rFonts w:eastAsia="MS Mincho" w:cs="Times New Roman"/>
          <w:sz w:val="28"/>
          <w:szCs w:val="28"/>
        </w:rPr>
        <w:t>(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por delegação da </w:t>
      </w:r>
      <w:r w:rsidRPr="00D6272C">
        <w:rPr>
          <w:rFonts w:eastAsia="MS Mincho" w:cs="Times New Roman"/>
          <w:sz w:val="28"/>
          <w:szCs w:val="28"/>
        </w:rPr>
        <w:t xml:space="preserve">Agência Nacional de Águas – </w:t>
      </w:r>
      <w:r w:rsidRPr="00D6272C">
        <w:rPr>
          <w:rFonts w:eastAsia="MS Mincho" w:cs="Times New Roman"/>
          <w:sz w:val="28"/>
          <w:szCs w:val="28"/>
          <w:lang w:val="x-none"/>
        </w:rPr>
        <w:t>ANA</w:t>
      </w:r>
      <w:r w:rsidRPr="00D6272C">
        <w:rPr>
          <w:rFonts w:eastAsia="MS Mincho" w:cs="Times New Roman"/>
          <w:sz w:val="28"/>
          <w:szCs w:val="28"/>
        </w:rPr>
        <w:t>)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 </w:t>
      </w:r>
      <w:r w:rsidRPr="00D6272C">
        <w:rPr>
          <w:rFonts w:eastAsia="MS Mincho" w:cs="Times New Roman"/>
          <w:sz w:val="28"/>
          <w:szCs w:val="28"/>
        </w:rPr>
        <w:t xml:space="preserve">com prazo de vigência de 10 anos, ou seja, até 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agosto de 2014. </w:t>
      </w:r>
    </w:p>
    <w:p w14:paraId="0EF9643B" w14:textId="77777777" w:rsidR="00601A42" w:rsidRPr="00D6272C" w:rsidRDefault="00601A42" w:rsidP="00601A42">
      <w:pPr>
        <w:spacing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 xml:space="preserve">Todavia, </w:t>
      </w:r>
      <w:r w:rsidRPr="00D6272C">
        <w:rPr>
          <w:rFonts w:eastAsia="MS Mincho" w:cs="Times New Roman"/>
          <w:sz w:val="28"/>
          <w:szCs w:val="28"/>
          <w:lang w:val="x-none"/>
        </w:rPr>
        <w:t>devido à seca extrema de 2014</w:t>
      </w:r>
      <w:r w:rsidRPr="00D6272C">
        <w:rPr>
          <w:rFonts w:eastAsia="MS Mincho" w:cs="Times New Roman"/>
          <w:sz w:val="28"/>
          <w:szCs w:val="28"/>
        </w:rPr>
        <w:t xml:space="preserve"> que afetou todo o Sistema Interligado da RMSP, a discussão sobre as condições de renovação da outorga foi prejudicada e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 a sua vigência prorrogada.</w:t>
      </w:r>
      <w:r w:rsidRPr="00D6272C">
        <w:rPr>
          <w:rFonts w:eastAsia="MS Mincho" w:cs="Times New Roman"/>
          <w:sz w:val="28"/>
          <w:szCs w:val="28"/>
        </w:rPr>
        <w:t xml:space="preserve"> O </w:t>
      </w:r>
      <w:r w:rsidRPr="00D6272C">
        <w:rPr>
          <w:rFonts w:eastAsia="Times New Roman" w:cs="Times New Roman"/>
          <w:sz w:val="28"/>
          <w:szCs w:val="28"/>
        </w:rPr>
        <w:t xml:space="preserve">período extremamente seco de 2014 avançou para o ano de 2015 e o prazo de renovação de outorga foi estendido mais uma vez, por meio da Resolução Conjunta ANA-DAEE nº 1.200 de 22-out-2015 (até maio de 2017). </w:t>
      </w:r>
    </w:p>
    <w:p w14:paraId="1086E309" w14:textId="77777777" w:rsidR="00601A42" w:rsidRPr="00D6272C" w:rsidRDefault="00601A42" w:rsidP="00601A42">
      <w:pPr>
        <w:spacing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D6272C">
        <w:rPr>
          <w:rFonts w:eastAsia="Times New Roman" w:cs="Times New Roman"/>
          <w:sz w:val="28"/>
          <w:szCs w:val="28"/>
        </w:rPr>
        <w:t xml:space="preserve">Por fim, em 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8 de março de 2016, os </w:t>
      </w:r>
      <w:r w:rsidRPr="00D6272C">
        <w:rPr>
          <w:rFonts w:eastAsia="MS Mincho" w:cs="Times New Roman"/>
          <w:sz w:val="28"/>
          <w:szCs w:val="28"/>
        </w:rPr>
        <w:t xml:space="preserve">órgãos </w:t>
      </w:r>
      <w:r w:rsidRPr="00D6272C">
        <w:rPr>
          <w:rFonts w:eastAsia="MS Mincho" w:cs="Times New Roman"/>
          <w:sz w:val="28"/>
          <w:szCs w:val="28"/>
          <w:lang w:val="x-none"/>
        </w:rPr>
        <w:t>reguladores cancelaram</w:t>
      </w:r>
      <w:r w:rsidRPr="00D6272C">
        <w:rPr>
          <w:rFonts w:eastAsia="MS Mincho" w:cs="Times New Roman"/>
          <w:sz w:val="28"/>
          <w:szCs w:val="28"/>
        </w:rPr>
        <w:t xml:space="preserve"> </w:t>
      </w:r>
      <w:r w:rsidRPr="00D6272C">
        <w:rPr>
          <w:rFonts w:eastAsia="MS Mincho" w:cs="Times New Roman"/>
          <w:sz w:val="28"/>
          <w:szCs w:val="28"/>
          <w:lang w:val="x-none"/>
        </w:rPr>
        <w:t xml:space="preserve">as autorizações para uso </w:t>
      </w:r>
      <w:r w:rsidRPr="00D6272C">
        <w:rPr>
          <w:rFonts w:eastAsia="MS Mincho" w:cs="Times New Roman"/>
          <w:sz w:val="28"/>
          <w:szCs w:val="28"/>
        </w:rPr>
        <w:t xml:space="preserve">das águas </w:t>
      </w:r>
      <w:r w:rsidRPr="00D6272C">
        <w:rPr>
          <w:rFonts w:eastAsia="MS Mincho" w:cs="Times New Roman"/>
          <w:sz w:val="28"/>
          <w:szCs w:val="28"/>
          <w:lang w:val="x-none"/>
        </w:rPr>
        <w:t>das reservas técnicas</w:t>
      </w:r>
      <w:r w:rsidRPr="00D6272C">
        <w:rPr>
          <w:rFonts w:eastAsia="MS Mincho" w:cs="Times New Roman"/>
          <w:sz w:val="28"/>
          <w:szCs w:val="28"/>
        </w:rPr>
        <w:t xml:space="preserve"> </w:t>
      </w:r>
      <w:r w:rsidRPr="00D6272C">
        <w:rPr>
          <w:rFonts w:eastAsia="MS Mincho" w:cs="Times New Roman"/>
          <w:sz w:val="28"/>
          <w:szCs w:val="28"/>
          <w:lang w:val="x-none"/>
        </w:rPr>
        <w:t>devido à</w:t>
      </w:r>
      <w:r w:rsidRPr="00D6272C">
        <w:rPr>
          <w:rFonts w:eastAsia="MS Mincho" w:cs="Times New Roman"/>
          <w:sz w:val="28"/>
          <w:szCs w:val="28"/>
        </w:rPr>
        <w:t xml:space="preserve"> </w:t>
      </w:r>
      <w:r w:rsidRPr="00D6272C">
        <w:rPr>
          <w:rFonts w:eastAsia="MS Mincho" w:cs="Times New Roman"/>
          <w:sz w:val="28"/>
          <w:szCs w:val="28"/>
          <w:lang w:val="x-none"/>
        </w:rPr>
        <w:t>recuperação dos volumes do Sistema Cantareira</w:t>
      </w:r>
      <w:r w:rsidRPr="00D6272C">
        <w:rPr>
          <w:rFonts w:eastAsia="MS Mincho" w:cs="Times New Roman"/>
          <w:sz w:val="28"/>
          <w:szCs w:val="28"/>
        </w:rPr>
        <w:t xml:space="preserve">, o que permitiu à </w:t>
      </w:r>
      <w:r w:rsidRPr="00D6272C">
        <w:rPr>
          <w:rFonts w:eastAsia="Times New Roman" w:cs="Times New Roman"/>
          <w:sz w:val="28"/>
          <w:szCs w:val="28"/>
        </w:rPr>
        <w:t>ANA e ao DAEE reprogramar as atividades para renovação da outorga do Sistema Cantareira:</w:t>
      </w:r>
    </w:p>
    <w:p w14:paraId="21C07B35" w14:textId="77777777" w:rsidR="00601A42" w:rsidRPr="00D6272C" w:rsidRDefault="00601A42" w:rsidP="00601A42">
      <w:pPr>
        <w:spacing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D6272C">
        <w:rPr>
          <w:rFonts w:eastAsia="Times New Roman" w:cs="Times New Roman"/>
          <w:sz w:val="28"/>
          <w:szCs w:val="28"/>
        </w:rPr>
        <w:t>Assim, em 28 de março de 2016, a ANA e o DAEE estabeleceram um novo cronograma para renovação da outorga do Sistema Cantareira com o cumprimento das seguintes etapas:</w:t>
      </w:r>
    </w:p>
    <w:p w14:paraId="704356CD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 xml:space="preserve">Disponibilização de dados de referência atualizados até dezembro/2015 </w:t>
      </w:r>
    </w:p>
    <w:p w14:paraId="6265D94D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 xml:space="preserve"> Recebimento, pela ANA e pelo DAEE, das considerações e eventuais atualizações das propostas dos entes do Sistema (Comitês, Sabesp e IGAM);</w:t>
      </w:r>
    </w:p>
    <w:p w14:paraId="784E4F49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 xml:space="preserve"> Realização de duas reuniões técnicas públicas (uma no PCJ e outra na RMSP) com os interessados para apresentação pelos entes do sistema das propostas atualizadas, para esclarecimentos e debates;</w:t>
      </w:r>
    </w:p>
    <w:p w14:paraId="6F44AE6F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 xml:space="preserve"> Análise pela ANA e DAEE das propostas recebidas e das contribuições das reuniões técnicas públicas e realização de reunião com os entes envolvidos (Comitês, Sabesp e IGAM) para apresentação de proposta-guia preliminar e coleta de contribuições;</w:t>
      </w:r>
    </w:p>
    <w:p w14:paraId="38E4CF89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lastRenderedPageBreak/>
        <w:t xml:space="preserve"> Divulgação da proposta-guia e minuta de resolução;</w:t>
      </w:r>
    </w:p>
    <w:p w14:paraId="3CFA944F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 xml:space="preserve"> Realização de duas audiências públicas para discussão dos termos da proposta-guia e da minuta de resolução. Foram realizadas em São Paulo, no dia 09-mar-2017 e Campinas, no dia 10-mar-2017;</w:t>
      </w:r>
    </w:p>
    <w:p w14:paraId="741876DC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 xml:space="preserve"> Apreciação, pela ANA e DAEE, de contribuições das audiências públicas e elaboração da proposta-guia e da minuta de resolução ajustadas;</w:t>
      </w:r>
    </w:p>
    <w:p w14:paraId="6994BFCB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 xml:space="preserve"> Reunião com os entes interessados (Comitês, Sabesp e IGAM) para eventuais ajustes adicionais na minuta de resolução; e</w:t>
      </w:r>
    </w:p>
    <w:p w14:paraId="0A8EC1EA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  <w:lang w:eastAsia="en-US"/>
        </w:rPr>
      </w:pPr>
      <w:r w:rsidRPr="00D6272C">
        <w:rPr>
          <w:rFonts w:eastAsia="MS Mincho" w:cs="Times New Roman"/>
          <w:sz w:val="28"/>
          <w:szCs w:val="28"/>
          <w:lang w:eastAsia="en-US"/>
        </w:rPr>
        <w:t xml:space="preserve"> Publicação da renovação da outorga, até 31/05/2017.</w:t>
      </w:r>
    </w:p>
    <w:p w14:paraId="21B1E874" w14:textId="77777777" w:rsidR="00601A42" w:rsidRPr="00D6272C" w:rsidRDefault="00601A42" w:rsidP="00601A42">
      <w:pPr>
        <w:spacing w:after="240" w:line="240" w:lineRule="auto"/>
        <w:jc w:val="both"/>
        <w:rPr>
          <w:rFonts w:eastAsia="Times New Roman" w:cs="Times New Roman"/>
          <w:sz w:val="28"/>
          <w:szCs w:val="28"/>
        </w:rPr>
      </w:pPr>
      <w:r w:rsidRPr="00D6272C">
        <w:rPr>
          <w:rFonts w:eastAsia="Times New Roman" w:cs="Times New Roman"/>
          <w:sz w:val="28"/>
          <w:szCs w:val="28"/>
        </w:rPr>
        <w:t>Na ocasião, o CBH-AT, por meio da Deliberação CBH-AT n° 26 de 28 de junho de 2016 (que aprova a manifestação sobre a renovação da outorga do Sistema Cantareira em 2016), encaminhou a sua proposta à ANA e DAEE.</w:t>
      </w:r>
    </w:p>
    <w:p w14:paraId="412F77B1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Cumpridas todas as etapas programadas, finalmente, por meio da Resolução Conjunta ANA/DAEE n</w:t>
      </w:r>
      <w:r w:rsidRPr="00D6272C">
        <w:rPr>
          <w:rFonts w:eastAsia="MS Mincho" w:cs="Times New Roman"/>
          <w:sz w:val="28"/>
          <w:szCs w:val="28"/>
          <w:vertAlign w:val="superscript"/>
        </w:rPr>
        <w:t>os</w:t>
      </w:r>
      <w:r w:rsidRPr="00D6272C">
        <w:rPr>
          <w:rFonts w:eastAsia="MS Mincho" w:cs="Times New Roman"/>
          <w:sz w:val="28"/>
          <w:szCs w:val="28"/>
        </w:rPr>
        <w:t xml:space="preserve"> 925 e 926 de 29 de maio de 2017 publicadas no Diário Oficial da União de 30 de maio de 2017, o Sistema Cantareira teve a sua outorga renovada por mais 10 anos, ou seja, até 30 de maio de 2027. Destaque-se que em 2017, diferentemente de 2004, o ato de outorga foi desmembrado em dois documentos: </w:t>
      </w:r>
    </w:p>
    <w:p w14:paraId="550F9B10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A Resolução Conjunta ANA/DAEE n</w:t>
      </w:r>
      <w:r w:rsidRPr="00D6272C">
        <w:rPr>
          <w:rFonts w:eastAsia="MS Mincho" w:cs="Times New Roman"/>
          <w:sz w:val="28"/>
          <w:szCs w:val="28"/>
          <w:vertAlign w:val="superscript"/>
        </w:rPr>
        <w:t>o</w:t>
      </w:r>
      <w:r w:rsidRPr="00D6272C">
        <w:rPr>
          <w:rFonts w:eastAsia="MS Mincho" w:cs="Times New Roman"/>
          <w:sz w:val="28"/>
          <w:szCs w:val="28"/>
        </w:rPr>
        <w:t xml:space="preserve"> 925 dispõe sobre as </w:t>
      </w:r>
      <w:r w:rsidRPr="00D6272C">
        <w:rPr>
          <w:rFonts w:eastAsia="MS Mincho" w:cs="Times New Roman"/>
          <w:b/>
          <w:sz w:val="28"/>
          <w:szCs w:val="28"/>
        </w:rPr>
        <w:t>condições de operação</w:t>
      </w:r>
      <w:r w:rsidRPr="00D6272C">
        <w:rPr>
          <w:rFonts w:eastAsia="MS Mincho" w:cs="Times New Roman"/>
          <w:sz w:val="28"/>
          <w:szCs w:val="28"/>
        </w:rPr>
        <w:t xml:space="preserve"> para o Sistema Cantareira compreendendo a utilização do conjunto dos reservatórios </w:t>
      </w:r>
      <w:proofErr w:type="spellStart"/>
      <w:r w:rsidRPr="00D6272C">
        <w:rPr>
          <w:rFonts w:eastAsia="MS Mincho" w:cs="Times New Roman"/>
          <w:sz w:val="28"/>
          <w:szCs w:val="28"/>
        </w:rPr>
        <w:t>Jaguari</w:t>
      </w:r>
      <w:proofErr w:type="spellEnd"/>
      <w:r w:rsidRPr="00D6272C">
        <w:rPr>
          <w:rFonts w:eastAsia="MS Mincho" w:cs="Times New Roman"/>
          <w:sz w:val="28"/>
          <w:szCs w:val="28"/>
        </w:rPr>
        <w:t xml:space="preserve">-Jacareí, </w:t>
      </w:r>
      <w:proofErr w:type="gramStart"/>
      <w:r w:rsidRPr="00D6272C">
        <w:rPr>
          <w:rFonts w:eastAsia="MS Mincho" w:cs="Times New Roman"/>
          <w:sz w:val="28"/>
          <w:szCs w:val="28"/>
        </w:rPr>
        <w:t>Cachoeira, Atibainha e Paiva Castro</w:t>
      </w:r>
      <w:proofErr w:type="gramEnd"/>
      <w:r w:rsidRPr="00D6272C">
        <w:rPr>
          <w:rFonts w:eastAsia="MS Mincho" w:cs="Times New Roman"/>
          <w:sz w:val="28"/>
          <w:szCs w:val="28"/>
        </w:rPr>
        <w:t xml:space="preserve">; e </w:t>
      </w:r>
    </w:p>
    <w:p w14:paraId="52BCA5E1" w14:textId="77777777" w:rsidR="00601A42" w:rsidRPr="00D6272C" w:rsidRDefault="00601A42" w:rsidP="00601A42">
      <w:pPr>
        <w:tabs>
          <w:tab w:val="left" w:pos="113"/>
          <w:tab w:val="left" w:pos="284"/>
        </w:tabs>
        <w:spacing w:after="240" w:line="240" w:lineRule="auto"/>
        <w:ind w:left="533" w:hanging="170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A Resolução Conjunta ANA/DAEE n</w:t>
      </w:r>
      <w:r w:rsidRPr="00D6272C">
        <w:rPr>
          <w:rFonts w:eastAsia="MS Mincho" w:cs="Times New Roman"/>
          <w:sz w:val="28"/>
          <w:szCs w:val="28"/>
          <w:vertAlign w:val="superscript"/>
        </w:rPr>
        <w:t>o</w:t>
      </w:r>
      <w:r w:rsidRPr="00D6272C">
        <w:rPr>
          <w:rFonts w:eastAsia="MS Mincho" w:cs="Times New Roman"/>
          <w:sz w:val="28"/>
          <w:szCs w:val="28"/>
        </w:rPr>
        <w:t xml:space="preserve"> 926 trata das questões mais relacionadas com a outorga propriamente dita constando, nos seus artigos 6 a 13, os produtos que a SABESP deverá encaminhar aos órgãos gestores e os prazos respectivos. Nessa Resolução Conjunta consta que dentre esses produtos, os referidos nos artigos 6, 11 e 12 devem ser submetidos à apreciação dos CBH-AT e CBH-PCJ.</w:t>
      </w:r>
    </w:p>
    <w:p w14:paraId="2A348640" w14:textId="492BD696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 xml:space="preserve">Em </w:t>
      </w:r>
      <w:r w:rsidR="00082A06" w:rsidRPr="00D6272C">
        <w:rPr>
          <w:rFonts w:eastAsia="MS Mincho" w:cs="Times New Roman"/>
          <w:sz w:val="28"/>
          <w:szCs w:val="28"/>
        </w:rPr>
        <w:t>04/07/2018</w:t>
      </w:r>
      <w:r w:rsidRPr="00D6272C">
        <w:rPr>
          <w:rFonts w:eastAsia="MS Mincho" w:cs="Times New Roman"/>
          <w:sz w:val="28"/>
          <w:szCs w:val="28"/>
        </w:rPr>
        <w:t xml:space="preserve">, o CBH-AT recebeu o Ofício 46/2018/AR-OC-ANA, datado de 28 de junho de 2018, cujo anexo contém o relatório técnico elaborado pela Sabesp, em atendimento ao referido artigo 11 da Resolução Conjunta ANA/DAEE.  </w:t>
      </w:r>
    </w:p>
    <w:p w14:paraId="3C0F131A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Segundo este ofício, o relatório foi recebido pela ANA em 30 de maio de 2018, para o qual solicita ao CBH-AT as devidas considerações a fim de subsidiar os órgãos gestores na avaliação desses produtos.</w:t>
      </w:r>
    </w:p>
    <w:p w14:paraId="295C9BB9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lastRenderedPageBreak/>
        <w:t>O relatório técnico apresentado pela SABESP possui o seguinte título:</w:t>
      </w:r>
    </w:p>
    <w:p w14:paraId="60CEC26D" w14:textId="77777777" w:rsidR="00601A42" w:rsidRPr="00D6272C" w:rsidRDefault="00601A42" w:rsidP="00105F21">
      <w:pPr>
        <w:numPr>
          <w:ilvl w:val="0"/>
          <w:numId w:val="4"/>
        </w:numPr>
        <w:spacing w:after="240" w:line="240" w:lineRule="auto"/>
        <w:ind w:left="527" w:hanging="170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 xml:space="preserve"> Atendimento ao artigo 11º da Resolução Conjunta ANA/DAEE nº 926 de 29/05/17, maio/2018.</w:t>
      </w:r>
    </w:p>
    <w:p w14:paraId="7705AE9B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 xml:space="preserve">Dessa forma, por meio do Ofício CBH-AT nº 40/2018, o CBH-AT incumbiu a Câmara Técnica de Monitoramento Hidrológico (CTMH-AT) proceder à análise do plano de operação dos reservatórios apresentado pela SABESP. </w:t>
      </w:r>
    </w:p>
    <w:p w14:paraId="30085670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Considerando a atuação do GT-Outorga</w:t>
      </w:r>
      <w:r w:rsidRPr="00D6272C">
        <w:rPr>
          <w:rFonts w:eastAsia="MS Mincho" w:cs="Times New Roman"/>
          <w:sz w:val="28"/>
          <w:szCs w:val="28"/>
          <w:lang w:val="x-none" w:eastAsia="en-US"/>
        </w:rPr>
        <w:t xml:space="preserve"> </w:t>
      </w:r>
      <w:r w:rsidRPr="00D6272C">
        <w:rPr>
          <w:rFonts w:eastAsia="MS Mincho" w:cs="Times New Roman"/>
          <w:sz w:val="28"/>
          <w:szCs w:val="28"/>
        </w:rPr>
        <w:t>do Sistema Cantareira na elaboração da Resolução Conjunta, a CTMH solicitou o apoio deste GT na referida análise.</w:t>
      </w:r>
    </w:p>
    <w:p w14:paraId="4AE8D057" w14:textId="77777777" w:rsidR="00601A42" w:rsidRPr="00D6272C" w:rsidRDefault="00601A42" w:rsidP="00105F21">
      <w:pPr>
        <w:keepNext/>
        <w:pageBreakBefore/>
        <w:numPr>
          <w:ilvl w:val="0"/>
          <w:numId w:val="1"/>
        </w:numPr>
        <w:tabs>
          <w:tab w:val="clear" w:pos="720"/>
          <w:tab w:val="num" w:pos="360"/>
        </w:tabs>
        <w:spacing w:after="360" w:line="240" w:lineRule="auto"/>
        <w:ind w:left="0" w:firstLine="0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3" w:name="_Toc507688637"/>
      <w:bookmarkStart w:id="4" w:name="_Toc519069548"/>
      <w:bookmarkStart w:id="5" w:name="_Toc424810047"/>
      <w:r w:rsidRPr="00D6272C">
        <w:rPr>
          <w:rFonts w:eastAsia="Times New Roman" w:cs="Times New Roman"/>
          <w:b/>
          <w:bCs/>
          <w:kern w:val="32"/>
          <w:sz w:val="28"/>
          <w:szCs w:val="28"/>
        </w:rPr>
        <w:lastRenderedPageBreak/>
        <w:t xml:space="preserve">2. Apreciação sobre o relatório da SABESP em atendimento ao artigo </w:t>
      </w:r>
      <w:bookmarkEnd w:id="3"/>
      <w:r w:rsidRPr="00D6272C">
        <w:rPr>
          <w:rFonts w:eastAsia="Times New Roman" w:cs="Times New Roman"/>
          <w:b/>
          <w:bCs/>
          <w:kern w:val="32"/>
          <w:sz w:val="28"/>
          <w:szCs w:val="28"/>
        </w:rPr>
        <w:t>11º</w:t>
      </w:r>
      <w:bookmarkEnd w:id="4"/>
    </w:p>
    <w:p w14:paraId="608D88A6" w14:textId="77777777" w:rsidR="00601A42" w:rsidRPr="00D6272C" w:rsidRDefault="00601A42" w:rsidP="00105F2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80" w:after="240" w:line="240" w:lineRule="auto"/>
        <w:ind w:left="0" w:firstLine="0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bookmarkStart w:id="6" w:name="_Toc519069549"/>
      <w:r w:rsidRPr="00D6272C">
        <w:rPr>
          <w:rFonts w:eastAsia="Times New Roman" w:cs="Times New Roman"/>
          <w:b/>
          <w:bCs/>
          <w:iCs/>
          <w:sz w:val="28"/>
          <w:szCs w:val="28"/>
        </w:rPr>
        <w:t>2.1. Introdução</w:t>
      </w:r>
      <w:bookmarkEnd w:id="6"/>
    </w:p>
    <w:p w14:paraId="30C0297D" w14:textId="77777777" w:rsidR="00601A42" w:rsidRPr="00D6272C" w:rsidRDefault="00601A42" w:rsidP="00601A42">
      <w:pPr>
        <w:autoSpaceDE w:val="0"/>
        <w:autoSpaceDN w:val="0"/>
        <w:adjustRightInd w:val="0"/>
        <w:spacing w:after="12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D6272C">
        <w:rPr>
          <w:rFonts w:eastAsia="MS Mincho" w:cs="Times New Roman"/>
          <w:bCs/>
          <w:sz w:val="28"/>
          <w:szCs w:val="28"/>
        </w:rPr>
        <w:t>O art. 11º da Resolução Conjunta ANA/DAEE nº 926 de 29/05/17 diz:</w:t>
      </w:r>
    </w:p>
    <w:p w14:paraId="57046A70" w14:textId="77777777" w:rsidR="00601A42" w:rsidRPr="00D6272C" w:rsidRDefault="00601A42" w:rsidP="0060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MS Mincho" w:cs="Times New Roman"/>
          <w:bCs/>
          <w:sz w:val="28"/>
          <w:szCs w:val="28"/>
        </w:rPr>
      </w:pPr>
      <w:r w:rsidRPr="00D6272C">
        <w:rPr>
          <w:rFonts w:eastAsia="MS Mincho" w:cs="Times New Roman"/>
          <w:bCs/>
          <w:sz w:val="28"/>
          <w:szCs w:val="28"/>
        </w:rPr>
        <w:t>Art. 11º - A SABESP deverá apresentar, no prazo de até 12 (doze) meses, para aprovação da ANA e do DAEE, ouvidos os Comitês PCJ e CBH-AT, plano de operação dos reservatórios durante o período de cheias, observando as condições de operação estabelecidas pela ANA e DAEE em resolução específica.</w:t>
      </w:r>
    </w:p>
    <w:p w14:paraId="5F743635" w14:textId="77777777" w:rsidR="00601A42" w:rsidRPr="00D6272C" w:rsidRDefault="00601A42" w:rsidP="00601A42">
      <w:pPr>
        <w:spacing w:after="120" w:line="240" w:lineRule="auto"/>
        <w:rPr>
          <w:rFonts w:eastAsia="MS Mincho" w:cs="Times New Roman"/>
          <w:bCs/>
          <w:sz w:val="28"/>
          <w:szCs w:val="28"/>
        </w:rPr>
      </w:pPr>
    </w:p>
    <w:p w14:paraId="08508233" w14:textId="77777777" w:rsidR="00601A42" w:rsidRPr="00D6272C" w:rsidRDefault="00601A42" w:rsidP="00105F2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80" w:after="240" w:line="240" w:lineRule="auto"/>
        <w:ind w:left="0" w:firstLine="0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bookmarkStart w:id="7" w:name="_Toc519069550"/>
      <w:r w:rsidRPr="00D6272C">
        <w:rPr>
          <w:rFonts w:eastAsia="Times New Roman" w:cs="Times New Roman"/>
          <w:b/>
          <w:bCs/>
          <w:iCs/>
          <w:sz w:val="28"/>
          <w:szCs w:val="28"/>
        </w:rPr>
        <w:t>2.2. Síntese dos principais tópicos do relatório da SABESP (artigo 11)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9496"/>
      </w:tblGrid>
      <w:tr w:rsidR="00601A42" w:rsidRPr="00D6272C" w14:paraId="6FCE0134" w14:textId="77777777" w:rsidTr="003B38A7">
        <w:tc>
          <w:tcPr>
            <w:tcW w:w="9706" w:type="dxa"/>
            <w:shd w:val="clear" w:color="auto" w:fill="auto"/>
          </w:tcPr>
          <w:p w14:paraId="139F8412" w14:textId="77777777" w:rsidR="00601A42" w:rsidRPr="00D6272C" w:rsidRDefault="00601A42" w:rsidP="00601A42">
            <w:pPr>
              <w:spacing w:after="120" w:line="240" w:lineRule="auto"/>
              <w:jc w:val="both"/>
              <w:rPr>
                <w:rFonts w:eastAsia="MS Mincho" w:cs="Times New Roman"/>
                <w:bCs/>
                <w:color w:val="0070C0"/>
                <w:sz w:val="28"/>
                <w:szCs w:val="28"/>
              </w:rPr>
            </w:pPr>
            <w:r w:rsidRPr="00D6272C">
              <w:rPr>
                <w:rFonts w:eastAsia="MS Mincho" w:cs="Times New Roman"/>
                <w:sz w:val="28"/>
                <w:szCs w:val="28"/>
              </w:rPr>
              <w:t xml:space="preserve">O relatório da SABESP informa que a </w:t>
            </w:r>
            <w:r w:rsidRPr="00D6272C">
              <w:rPr>
                <w:rFonts w:eastAsia="MS Mincho" w:cs="Times New Roman"/>
                <w:bCs/>
                <w:sz w:val="28"/>
                <w:szCs w:val="28"/>
              </w:rPr>
              <w:t>operação das estruturas hidráulicas do Sistema Cantareira para controle de cheias utiliza informações sobre níveis, vazões e demais definições da Resolução Conjunta ANA/DAEE n</w:t>
            </w:r>
            <w:r w:rsidRPr="00D6272C">
              <w:rPr>
                <w:rFonts w:eastAsia="MS Mincho" w:cs="Times New Roman"/>
                <w:bCs/>
                <w:sz w:val="28"/>
                <w:szCs w:val="28"/>
                <w:vertAlign w:val="superscript"/>
              </w:rPr>
              <w:t>o</w:t>
            </w:r>
            <w:r w:rsidRPr="00D6272C">
              <w:rPr>
                <w:rFonts w:eastAsia="MS Mincho" w:cs="Times New Roman"/>
                <w:bCs/>
                <w:sz w:val="28"/>
                <w:szCs w:val="28"/>
              </w:rPr>
              <w:t xml:space="preserve"> 614 de 09/11/10 e da Nota Técnica DAEE/DPO n</w:t>
            </w:r>
            <w:r w:rsidRPr="00D6272C">
              <w:rPr>
                <w:rFonts w:eastAsia="MS Mincho" w:cs="Times New Roman"/>
                <w:bCs/>
                <w:sz w:val="28"/>
                <w:szCs w:val="28"/>
                <w:vertAlign w:val="superscript"/>
              </w:rPr>
              <w:t>o</w:t>
            </w:r>
            <w:r w:rsidRPr="00D6272C">
              <w:rPr>
                <w:rFonts w:eastAsia="MS Mincho" w:cs="Times New Roman"/>
                <w:bCs/>
                <w:sz w:val="28"/>
                <w:szCs w:val="28"/>
              </w:rPr>
              <w:t xml:space="preserve"> 01/2010 de 28/10/2010, inseridas no relatório “</w:t>
            </w:r>
            <w:r w:rsidRPr="00D6272C">
              <w:rPr>
                <w:rFonts w:eastAsia="MS Mincho" w:cs="Times New Roman"/>
                <w:b/>
                <w:bCs/>
                <w:sz w:val="28"/>
                <w:szCs w:val="28"/>
              </w:rPr>
              <w:t>Estudos de Cheias para Avaliação dos Volumes de Espera dos Aproveitamentos do Sistema Cantareira</w:t>
            </w:r>
            <w:r w:rsidRPr="00D6272C">
              <w:rPr>
                <w:rFonts w:eastAsia="MS Mincho" w:cs="Times New Roman"/>
                <w:bCs/>
                <w:sz w:val="28"/>
                <w:szCs w:val="28"/>
              </w:rPr>
              <w:t xml:space="preserve"> – Relatório Final – Outubro de 2009 – V 2.0” (Anexo D), elaborado pela empresa HIDRO Engenheiros Consultores Ltda</w:t>
            </w:r>
            <w:r w:rsidRPr="00D6272C">
              <w:rPr>
                <w:rFonts w:eastAsia="MS Mincho" w:cs="Times New Roman"/>
                <w:bCs/>
                <w:color w:val="0070C0"/>
                <w:sz w:val="28"/>
                <w:szCs w:val="28"/>
              </w:rPr>
              <w:t>.</w:t>
            </w:r>
          </w:p>
          <w:p w14:paraId="699A5A16" w14:textId="77777777" w:rsidR="00601A42" w:rsidRPr="00D6272C" w:rsidRDefault="00601A42" w:rsidP="00601A42">
            <w:pPr>
              <w:spacing w:after="120" w:line="240" w:lineRule="auto"/>
              <w:jc w:val="both"/>
              <w:rPr>
                <w:rFonts w:eastAsia="MS Mincho" w:cs="Times New Roman"/>
                <w:sz w:val="28"/>
                <w:szCs w:val="28"/>
                <w:lang w:eastAsia="en-US"/>
              </w:rPr>
            </w:pPr>
            <w:r w:rsidRPr="00D6272C">
              <w:rPr>
                <w:rFonts w:eastAsia="MS Mincho" w:cs="Times New Roman"/>
                <w:sz w:val="28"/>
                <w:szCs w:val="28"/>
                <w:lang w:eastAsia="en-US"/>
              </w:rPr>
              <w:t xml:space="preserve">O relatório da SABESP informa também que a Resolução ANA/DAEE nº 614 de 09/11/2010 e a Nota Técnica DAEE/DPO nº 01/2010 de 28/10/2010 são elementos norteadores para a </w:t>
            </w:r>
            <w:proofErr w:type="spellStart"/>
            <w:r w:rsidRPr="00D6272C">
              <w:rPr>
                <w:rFonts w:eastAsia="MS Mincho" w:cs="Times New Roman"/>
                <w:sz w:val="28"/>
                <w:szCs w:val="28"/>
                <w:lang w:eastAsia="en-US"/>
              </w:rPr>
              <w:t>definiçãodas</w:t>
            </w:r>
            <w:proofErr w:type="spellEnd"/>
            <w:r w:rsidRPr="00D6272C">
              <w:rPr>
                <w:rFonts w:eastAsia="MS Mincho" w:cs="Times New Roman"/>
                <w:sz w:val="28"/>
                <w:szCs w:val="28"/>
                <w:lang w:eastAsia="en-US"/>
              </w:rPr>
              <w:t xml:space="preserve"> vazões de restrição para as represas do Sistema Cantareira, conforme tabela 2 a seguir:</w:t>
            </w:r>
          </w:p>
          <w:p w14:paraId="617EFCFE" w14:textId="4BF9B8F8" w:rsidR="00601A42" w:rsidRPr="00D6272C" w:rsidRDefault="00601A42" w:rsidP="00601A42">
            <w:pPr>
              <w:spacing w:after="120" w:line="240" w:lineRule="auto"/>
              <w:jc w:val="both"/>
              <w:rPr>
                <w:rFonts w:eastAsia="MS Mincho" w:cs="Times New Roman"/>
                <w:bCs/>
                <w:color w:val="0070C0"/>
                <w:sz w:val="28"/>
                <w:szCs w:val="28"/>
              </w:rPr>
            </w:pPr>
            <w:r w:rsidRPr="00D6272C">
              <w:rPr>
                <w:rFonts w:eastAsia="MS Mincho" w:cs="Times New Roman"/>
                <w:bCs/>
                <w:noProof/>
                <w:color w:val="0070C0"/>
                <w:sz w:val="28"/>
                <w:szCs w:val="28"/>
              </w:rPr>
              <w:drawing>
                <wp:inline distT="0" distB="0" distL="0" distR="0" wp14:anchorId="49774C63" wp14:editId="01EF14B3">
                  <wp:extent cx="6029325" cy="2228850"/>
                  <wp:effectExtent l="0" t="0" r="9525" b="0"/>
                  <wp:docPr id="296" name="Imagem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C97E7" w14:textId="77777777" w:rsidR="00601A42" w:rsidRPr="00D6272C" w:rsidRDefault="00601A42" w:rsidP="00601A42">
            <w:pPr>
              <w:spacing w:after="120" w:line="240" w:lineRule="auto"/>
              <w:jc w:val="both"/>
              <w:rPr>
                <w:rFonts w:eastAsia="MS Mincho" w:cs="Times New Roman"/>
                <w:bCs/>
                <w:sz w:val="28"/>
                <w:szCs w:val="28"/>
              </w:rPr>
            </w:pPr>
            <w:r w:rsidRPr="00D6272C">
              <w:rPr>
                <w:rFonts w:eastAsia="MS Mincho" w:cs="Times New Roman"/>
                <w:bCs/>
                <w:sz w:val="28"/>
                <w:szCs w:val="28"/>
              </w:rPr>
              <w:t>Fonte: Relatório da SABESP, anexo ao ofício 46/2018/AR-OC-ANA, de 28 de junho de 2018, pág. 17.</w:t>
            </w:r>
          </w:p>
          <w:p w14:paraId="611C6DE1" w14:textId="77777777" w:rsidR="00601A42" w:rsidRPr="00D6272C" w:rsidRDefault="00601A42" w:rsidP="00601A4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 w:cs="Arial"/>
                <w:color w:val="000000"/>
                <w:sz w:val="28"/>
                <w:szCs w:val="28"/>
              </w:rPr>
            </w:pPr>
          </w:p>
          <w:p w14:paraId="1AB03F56" w14:textId="77777777" w:rsidR="00601A42" w:rsidRPr="00D6272C" w:rsidRDefault="00601A42" w:rsidP="0060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Times New Roman"/>
                <w:color w:val="000000"/>
                <w:sz w:val="28"/>
                <w:szCs w:val="28"/>
              </w:rPr>
            </w:pPr>
            <w:r w:rsidRPr="00D6272C">
              <w:rPr>
                <w:rFonts w:eastAsia="MS Mincho" w:cs="Times New Roman"/>
                <w:color w:val="000000"/>
                <w:sz w:val="28"/>
                <w:szCs w:val="28"/>
              </w:rPr>
              <w:lastRenderedPageBreak/>
              <w:t xml:space="preserve">O relatório da SABESP informa que os planos de contingência para controle de cheias do Sistema Cantareira estão disponibilizados pela Coordenadoria Estadual da Defesa Civil – CEDEC, no endereço eletrônico </w:t>
            </w:r>
            <w:r w:rsidRPr="00D6272C">
              <w:rPr>
                <w:rFonts w:eastAsia="MS Mincho" w:cs="Times New Roman"/>
                <w:color w:val="0000FF"/>
                <w:sz w:val="28"/>
                <w:szCs w:val="28"/>
              </w:rPr>
              <w:t>http://www.defesacivil.sp.gov.br/?page_id=342</w:t>
            </w:r>
            <w:r w:rsidRPr="00D6272C">
              <w:rPr>
                <w:rFonts w:eastAsia="MS Mincho" w:cs="Times New Roman"/>
                <w:color w:val="000000"/>
                <w:sz w:val="28"/>
                <w:szCs w:val="28"/>
              </w:rPr>
              <w:t>, elaborados e aprovados pelas partes interessadas em setembro/16. (</w:t>
            </w:r>
            <w:proofErr w:type="gramStart"/>
            <w:r w:rsidRPr="00D6272C">
              <w:rPr>
                <w:rFonts w:eastAsia="MS Mincho" w:cs="Times New Roman"/>
                <w:color w:val="000000"/>
                <w:sz w:val="28"/>
                <w:szCs w:val="28"/>
              </w:rPr>
              <w:t>endereço</w:t>
            </w:r>
            <w:proofErr w:type="gramEnd"/>
            <w:r w:rsidRPr="00D6272C">
              <w:rPr>
                <w:rFonts w:eastAsia="MS Mincho" w:cs="Times New Roman"/>
                <w:color w:val="000000"/>
                <w:sz w:val="28"/>
                <w:szCs w:val="28"/>
              </w:rPr>
              <w:t xml:space="preserve"> momentaneamente desativado pela Defesa Civil devido ao período eleitoral).</w:t>
            </w:r>
          </w:p>
          <w:p w14:paraId="767A7D9C" w14:textId="77777777" w:rsidR="00601A42" w:rsidRPr="00D6272C" w:rsidRDefault="00601A42" w:rsidP="00601A42">
            <w:pPr>
              <w:spacing w:after="120" w:line="240" w:lineRule="auto"/>
              <w:jc w:val="both"/>
              <w:rPr>
                <w:rFonts w:eastAsia="MS Mincho" w:cs="Times New Roman"/>
                <w:color w:val="000000"/>
                <w:sz w:val="28"/>
                <w:szCs w:val="28"/>
              </w:rPr>
            </w:pPr>
          </w:p>
          <w:p w14:paraId="5431D2CA" w14:textId="77777777" w:rsidR="00601A42" w:rsidRPr="00D6272C" w:rsidRDefault="00601A42" w:rsidP="0060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Times New Roman"/>
                <w:sz w:val="28"/>
                <w:szCs w:val="28"/>
              </w:rPr>
            </w:pPr>
            <w:r w:rsidRPr="00D6272C">
              <w:rPr>
                <w:rFonts w:eastAsia="MS Mincho" w:cs="Times New Roman"/>
                <w:sz w:val="28"/>
                <w:szCs w:val="28"/>
              </w:rPr>
              <w:t xml:space="preserve">A comunicação é fator preponderante para o sucesso do Plano de Contingência. Iniciado o procedimento emergencial nas barragens o relatório da SABESP informa que a Coordenadoria Estadual da Defesa Civil – CEDEC será comunicada pelo responsável interno do Plano de Contingência, através do telefone (11) 2193-8888 ou através do e-mail: </w:t>
            </w:r>
            <w:hyperlink r:id="rId9" w:history="1">
              <w:r w:rsidRPr="00D6272C">
                <w:rPr>
                  <w:rFonts w:eastAsia="MS Mincho" w:cs="Times New Roman"/>
                  <w:sz w:val="28"/>
                  <w:szCs w:val="28"/>
                </w:rPr>
                <w:t>defesacivil@sp.gov.br</w:t>
              </w:r>
            </w:hyperlink>
            <w:r w:rsidRPr="00D6272C">
              <w:rPr>
                <w:rFonts w:eastAsia="MS Mincho" w:cs="Times New Roman"/>
                <w:sz w:val="28"/>
                <w:szCs w:val="28"/>
              </w:rPr>
              <w:t xml:space="preserve">. A centralização dos procedimentos de comunicação segue a orientação da própria Defesa Civil. Caberá à CEDEC prosseguir com as ações descritas nos planos de contingências. </w:t>
            </w:r>
          </w:p>
          <w:p w14:paraId="167078CF" w14:textId="77777777" w:rsidR="00601A42" w:rsidRPr="00D6272C" w:rsidRDefault="00601A42" w:rsidP="0060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Times New Roman"/>
                <w:sz w:val="28"/>
                <w:szCs w:val="28"/>
              </w:rPr>
            </w:pPr>
          </w:p>
          <w:p w14:paraId="73D7667A" w14:textId="77777777" w:rsidR="00601A42" w:rsidRPr="00D6272C" w:rsidRDefault="00601A42" w:rsidP="0060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Times New Roman"/>
                <w:sz w:val="28"/>
                <w:szCs w:val="28"/>
              </w:rPr>
            </w:pPr>
            <w:r w:rsidRPr="00D6272C">
              <w:rPr>
                <w:rFonts w:eastAsia="MS Mincho" w:cs="Times New Roman"/>
                <w:sz w:val="28"/>
                <w:szCs w:val="28"/>
              </w:rPr>
              <w:t xml:space="preserve">Observou-se também que o plano de contingência do reservatório Atibainha já incluiu a operação considerando a transposição por meio da EEAB </w:t>
            </w:r>
            <w:proofErr w:type="spellStart"/>
            <w:r w:rsidRPr="00D6272C">
              <w:rPr>
                <w:rFonts w:eastAsia="MS Mincho" w:cs="Times New Roman"/>
                <w:sz w:val="28"/>
                <w:szCs w:val="28"/>
              </w:rPr>
              <w:t>Jaguari</w:t>
            </w:r>
            <w:proofErr w:type="spellEnd"/>
            <w:r w:rsidRPr="00D6272C">
              <w:rPr>
                <w:rFonts w:eastAsia="MS Mincho" w:cs="Times New Roman"/>
                <w:sz w:val="28"/>
                <w:szCs w:val="28"/>
              </w:rPr>
              <w:t xml:space="preserve">/CESP e Atibainha, seja no sentido da Bacia do Rio Paraíba do Sul para a Bacia do Rio Piracicaba ou no sentido inverso. A apresentação do mesmo se dá em versão preliminar e eventuais alterações ainda poderão ser realizadas, considerando que as </w:t>
            </w:r>
            <w:proofErr w:type="spellStart"/>
            <w:r w:rsidRPr="00D6272C">
              <w:rPr>
                <w:rFonts w:eastAsia="MS Mincho" w:cs="Times New Roman"/>
                <w:sz w:val="28"/>
                <w:szCs w:val="28"/>
              </w:rPr>
              <w:t>EEABs</w:t>
            </w:r>
            <w:proofErr w:type="spellEnd"/>
            <w:r w:rsidRPr="00D6272C">
              <w:rPr>
                <w:rFonts w:eastAsia="MS Mincho" w:cs="Times New Roman"/>
                <w:sz w:val="28"/>
                <w:szCs w:val="28"/>
              </w:rPr>
              <w:t xml:space="preserve"> se encontram em fase de operação assistida (maio/18).</w:t>
            </w:r>
          </w:p>
          <w:p w14:paraId="298348E3" w14:textId="77777777" w:rsidR="00601A42" w:rsidRPr="00D6272C" w:rsidRDefault="00601A42" w:rsidP="00601A42">
            <w:pPr>
              <w:spacing w:after="120" w:line="240" w:lineRule="auto"/>
              <w:jc w:val="both"/>
              <w:rPr>
                <w:rFonts w:eastAsia="MS Mincho" w:cs="Times New Roman"/>
                <w:sz w:val="28"/>
                <w:szCs w:val="28"/>
              </w:rPr>
            </w:pPr>
          </w:p>
          <w:p w14:paraId="2C8FFBF7" w14:textId="77777777" w:rsidR="00601A42" w:rsidRPr="00D6272C" w:rsidRDefault="00601A42" w:rsidP="00601A42">
            <w:pPr>
              <w:spacing w:after="120" w:line="240" w:lineRule="auto"/>
              <w:jc w:val="both"/>
              <w:rPr>
                <w:rFonts w:eastAsia="MS Mincho" w:cs="Arial"/>
                <w:sz w:val="28"/>
                <w:szCs w:val="28"/>
              </w:rPr>
            </w:pPr>
            <w:r w:rsidRPr="00D6272C">
              <w:rPr>
                <w:rFonts w:eastAsia="MS Mincho" w:cs="Times New Roman"/>
                <w:sz w:val="28"/>
                <w:szCs w:val="28"/>
              </w:rPr>
              <w:t>Nas páginas 19 a 23 do relatório da SABESP são apresentados os fluxos operacionais dos reservatórios relativos aos Planos de Contingência</w:t>
            </w:r>
            <w:r w:rsidRPr="00D6272C">
              <w:rPr>
                <w:rFonts w:eastAsia="MS Mincho" w:cs="Arial"/>
                <w:sz w:val="28"/>
                <w:szCs w:val="28"/>
              </w:rPr>
              <w:t>.</w:t>
            </w:r>
          </w:p>
          <w:p w14:paraId="2AC201DB" w14:textId="77777777" w:rsidR="00601A42" w:rsidRPr="00D6272C" w:rsidRDefault="00601A42" w:rsidP="00601A42">
            <w:pPr>
              <w:spacing w:after="0" w:line="240" w:lineRule="auto"/>
              <w:jc w:val="both"/>
              <w:rPr>
                <w:rFonts w:eastAsia="MS Mincho" w:cs="Arial"/>
                <w:sz w:val="28"/>
                <w:szCs w:val="28"/>
              </w:rPr>
            </w:pPr>
          </w:p>
        </w:tc>
      </w:tr>
    </w:tbl>
    <w:p w14:paraId="4D110F24" w14:textId="77777777" w:rsidR="00601A42" w:rsidRPr="00D6272C" w:rsidRDefault="00601A42" w:rsidP="00601A42">
      <w:pPr>
        <w:spacing w:after="0" w:line="240" w:lineRule="auto"/>
        <w:jc w:val="both"/>
        <w:rPr>
          <w:rFonts w:eastAsia="MS Mincho" w:cs="Times New Roman"/>
          <w:sz w:val="28"/>
          <w:szCs w:val="28"/>
          <w:lang w:val="x-none"/>
        </w:rPr>
      </w:pPr>
      <w:r w:rsidRPr="00D6272C">
        <w:rPr>
          <w:rFonts w:eastAsia="MS Mincho" w:cs="Times New Roman"/>
          <w:sz w:val="28"/>
          <w:szCs w:val="28"/>
        </w:rPr>
        <w:lastRenderedPageBreak/>
        <w:t xml:space="preserve">Na discussão sobre o relatório da SABESP, em 03/08/2018, a CTMH, em conjunto com o GT Outorga do Sistema Cantareira, recomendou incluir no fluxograma operacional referente ao reservatório Atibainha a necessidade de interação com CESP, proprietária da UHE </w:t>
      </w:r>
      <w:proofErr w:type="spellStart"/>
      <w:r w:rsidRPr="00D6272C">
        <w:rPr>
          <w:rFonts w:eastAsia="MS Mincho" w:cs="Times New Roman"/>
          <w:sz w:val="28"/>
          <w:szCs w:val="28"/>
        </w:rPr>
        <w:t>Jaguari</w:t>
      </w:r>
      <w:proofErr w:type="spellEnd"/>
      <w:r w:rsidRPr="00D6272C">
        <w:rPr>
          <w:rFonts w:eastAsia="MS Mincho" w:cs="Times New Roman"/>
          <w:sz w:val="28"/>
          <w:szCs w:val="28"/>
        </w:rPr>
        <w:t xml:space="preserve">. </w:t>
      </w:r>
      <w:bookmarkStart w:id="8" w:name="_Toc519069551"/>
    </w:p>
    <w:p w14:paraId="227EBD9C" w14:textId="77777777" w:rsidR="00601A42" w:rsidRPr="00D6272C" w:rsidRDefault="00601A42" w:rsidP="00105F2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80" w:after="0" w:line="240" w:lineRule="auto"/>
        <w:ind w:left="0" w:firstLine="0"/>
        <w:jc w:val="both"/>
        <w:outlineLvl w:val="1"/>
        <w:rPr>
          <w:rFonts w:eastAsia="Times New Roman" w:cs="Times New Roman"/>
          <w:b/>
          <w:bCs/>
          <w:iCs/>
          <w:sz w:val="28"/>
          <w:szCs w:val="28"/>
        </w:rPr>
      </w:pPr>
    </w:p>
    <w:p w14:paraId="733CC1DE" w14:textId="77777777" w:rsidR="00601A42" w:rsidRPr="00D6272C" w:rsidRDefault="00601A42" w:rsidP="00105F21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80" w:after="240" w:line="240" w:lineRule="auto"/>
        <w:ind w:left="0" w:firstLine="0"/>
        <w:jc w:val="both"/>
        <w:outlineLvl w:val="1"/>
        <w:rPr>
          <w:rFonts w:eastAsia="Times New Roman" w:cs="Times New Roman"/>
          <w:b/>
          <w:bCs/>
          <w:iCs/>
          <w:sz w:val="28"/>
          <w:szCs w:val="28"/>
        </w:rPr>
      </w:pPr>
      <w:r w:rsidRPr="00D6272C">
        <w:rPr>
          <w:rFonts w:eastAsia="Times New Roman" w:cs="Times New Roman"/>
          <w:b/>
          <w:bCs/>
          <w:iCs/>
          <w:sz w:val="28"/>
          <w:szCs w:val="28"/>
        </w:rPr>
        <w:t>3. Conclu</w:t>
      </w:r>
      <w:bookmarkEnd w:id="8"/>
      <w:r w:rsidRPr="00D6272C">
        <w:rPr>
          <w:rFonts w:eastAsia="Times New Roman" w:cs="Times New Roman"/>
          <w:b/>
          <w:bCs/>
          <w:iCs/>
          <w:sz w:val="28"/>
          <w:szCs w:val="28"/>
        </w:rPr>
        <w:t>são</w:t>
      </w:r>
    </w:p>
    <w:p w14:paraId="7CE64453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 xml:space="preserve">A CTMH-AT em conjunto com o GT Outorga do Sistema Cantareira concluiu que o relatório da Sabesp apresenta o plano de operação dos reservatórios durante o período de cheias, observando as condições de operação estabelecidas pela ANA e DAEE.  </w:t>
      </w:r>
    </w:p>
    <w:p w14:paraId="28D82CE6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lastRenderedPageBreak/>
        <w:t>Em face do exposto, considera-se atendida a condicionante estabelecida no artigo 11º da Resolução Conjunta ANA/DAEE nº 926 de 29/05/17, no âmbito do CBH-AT.</w:t>
      </w:r>
    </w:p>
    <w:bookmarkEnd w:id="5"/>
    <w:p w14:paraId="083F3A11" w14:textId="77777777" w:rsidR="00601A42" w:rsidRPr="00D6272C" w:rsidRDefault="00601A42" w:rsidP="00601A42">
      <w:pPr>
        <w:spacing w:after="240" w:line="240" w:lineRule="auto"/>
        <w:jc w:val="both"/>
        <w:rPr>
          <w:rFonts w:eastAsia="MS Mincho" w:cs="Times New Roman"/>
          <w:sz w:val="28"/>
          <w:szCs w:val="28"/>
        </w:rPr>
      </w:pPr>
    </w:p>
    <w:p w14:paraId="7CA34EBA" w14:textId="77777777" w:rsidR="00601A42" w:rsidRPr="00D6272C" w:rsidRDefault="00601A42" w:rsidP="00601A42">
      <w:pPr>
        <w:spacing w:after="240" w:line="240" w:lineRule="auto"/>
        <w:jc w:val="right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São Paulo, 03 de agosto de 2018</w:t>
      </w:r>
    </w:p>
    <w:p w14:paraId="20102A63" w14:textId="77777777" w:rsidR="00601A42" w:rsidRPr="00D6272C" w:rsidRDefault="00601A42" w:rsidP="00601A42">
      <w:pPr>
        <w:spacing w:after="240" w:line="240" w:lineRule="auto"/>
        <w:jc w:val="right"/>
        <w:rPr>
          <w:rFonts w:eastAsia="MS Mincho" w:cs="Times New Roman"/>
          <w:sz w:val="28"/>
          <w:szCs w:val="28"/>
        </w:rPr>
      </w:pPr>
    </w:p>
    <w:p w14:paraId="2736D256" w14:textId="77777777" w:rsidR="00601A42" w:rsidRPr="00D6272C" w:rsidRDefault="00601A42" w:rsidP="00601A42">
      <w:pPr>
        <w:spacing w:after="0" w:line="240" w:lineRule="auto"/>
        <w:jc w:val="right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CBH-AT</w:t>
      </w:r>
    </w:p>
    <w:p w14:paraId="7D2FF3D2" w14:textId="77777777" w:rsidR="00601A42" w:rsidRPr="00D6272C" w:rsidRDefault="00601A42" w:rsidP="00601A42">
      <w:pPr>
        <w:spacing w:after="0" w:line="240" w:lineRule="auto"/>
        <w:jc w:val="right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 xml:space="preserve">GT Outorga do Sistema Cantareira e </w:t>
      </w:r>
    </w:p>
    <w:p w14:paraId="33A9C38A" w14:textId="77777777" w:rsidR="00601A42" w:rsidRPr="00D6272C" w:rsidRDefault="00601A42" w:rsidP="00601A42">
      <w:pPr>
        <w:spacing w:after="240" w:line="240" w:lineRule="auto"/>
        <w:jc w:val="right"/>
        <w:rPr>
          <w:rFonts w:eastAsia="MS Mincho" w:cs="Times New Roman"/>
          <w:sz w:val="28"/>
          <w:szCs w:val="28"/>
        </w:rPr>
      </w:pPr>
      <w:r w:rsidRPr="00D6272C">
        <w:rPr>
          <w:rFonts w:eastAsia="MS Mincho" w:cs="Times New Roman"/>
          <w:sz w:val="28"/>
          <w:szCs w:val="28"/>
        </w:rPr>
        <w:t>CTMH-</w:t>
      </w:r>
      <w:r w:rsidRPr="00D6272C">
        <w:rPr>
          <w:rFonts w:eastAsia="MS Mincho" w:cs="Times New Roman"/>
          <w:sz w:val="28"/>
          <w:szCs w:val="28"/>
          <w:lang w:val="x-none" w:eastAsia="en-US"/>
        </w:rPr>
        <w:t xml:space="preserve"> </w:t>
      </w:r>
      <w:r w:rsidRPr="00D6272C">
        <w:rPr>
          <w:rFonts w:eastAsia="MS Mincho" w:cs="Times New Roman"/>
          <w:sz w:val="28"/>
          <w:szCs w:val="28"/>
        </w:rPr>
        <w:t>Câmara Técnica de Monitoramento Hidrológico</w:t>
      </w:r>
    </w:p>
    <w:p w14:paraId="44682311" w14:textId="77777777" w:rsidR="00E209CB" w:rsidRPr="00D6272C" w:rsidRDefault="00E209CB" w:rsidP="00150B5D">
      <w:pPr>
        <w:jc w:val="center"/>
        <w:rPr>
          <w:b/>
          <w:sz w:val="28"/>
          <w:szCs w:val="28"/>
          <w:lang w:eastAsia="en-US"/>
        </w:rPr>
      </w:pPr>
    </w:p>
    <w:sectPr w:rsidR="00E209CB" w:rsidRPr="00D6272C" w:rsidSect="00E209C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6346" w14:textId="77777777" w:rsidR="00C06696" w:rsidRDefault="00C06696" w:rsidP="00322728">
      <w:pPr>
        <w:spacing w:after="0" w:line="240" w:lineRule="auto"/>
      </w:pPr>
      <w:r>
        <w:separator/>
      </w:r>
    </w:p>
  </w:endnote>
  <w:endnote w:type="continuationSeparator" w:id="0">
    <w:p w14:paraId="6447F3D1" w14:textId="77777777" w:rsidR="00C06696" w:rsidRDefault="00C06696" w:rsidP="0032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072345"/>
      <w:docPartObj>
        <w:docPartGallery w:val="Page Numbers (Bottom of Page)"/>
        <w:docPartUnique/>
      </w:docPartObj>
    </w:sdtPr>
    <w:sdtEndPr/>
    <w:sdtContent>
      <w:p w14:paraId="25F45813" w14:textId="77777777" w:rsidR="00C06696" w:rsidRDefault="00C066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21">
          <w:rPr>
            <w:noProof/>
          </w:rPr>
          <w:t>8</w:t>
        </w:r>
        <w:r>
          <w:fldChar w:fldCharType="end"/>
        </w:r>
      </w:p>
    </w:sdtContent>
  </w:sdt>
  <w:p w14:paraId="29E3A9D8" w14:textId="77777777" w:rsidR="00C06696" w:rsidRDefault="00C066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8618"/>
      <w:docPartObj>
        <w:docPartGallery w:val="Page Numbers (Bottom of Page)"/>
        <w:docPartUnique/>
      </w:docPartObj>
    </w:sdtPr>
    <w:sdtEndPr/>
    <w:sdtContent>
      <w:p w14:paraId="55E89E08" w14:textId="692D4DB1" w:rsidR="00C06696" w:rsidRPr="000A65D3" w:rsidRDefault="00C06696" w:rsidP="00F41C7C">
        <w:pPr>
          <w:pStyle w:val="Rodap"/>
          <w:jc w:val="right"/>
          <w:rPr>
            <w:rFonts w:ascii="Arial" w:hAnsi="Arial" w:cs="Arial"/>
            <w:i/>
            <w:sz w:val="18"/>
            <w:szCs w:val="18"/>
          </w:rPr>
        </w:pPr>
      </w:p>
      <w:p w14:paraId="580369FA" w14:textId="77777777" w:rsidR="00C06696" w:rsidRDefault="00105F21" w:rsidP="00F41C7C">
        <w:pPr>
          <w:pStyle w:val="Rodap"/>
          <w:jc w:val="right"/>
        </w:pPr>
      </w:p>
    </w:sdtContent>
  </w:sdt>
  <w:p w14:paraId="336328E0" w14:textId="77777777" w:rsidR="00C06696" w:rsidRDefault="00C066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476BE" w14:textId="77777777" w:rsidR="00C06696" w:rsidRDefault="00C06696" w:rsidP="00322728">
      <w:pPr>
        <w:spacing w:after="0" w:line="240" w:lineRule="auto"/>
      </w:pPr>
      <w:r>
        <w:separator/>
      </w:r>
    </w:p>
  </w:footnote>
  <w:footnote w:type="continuationSeparator" w:id="0">
    <w:p w14:paraId="7FF00194" w14:textId="77777777" w:rsidR="00C06696" w:rsidRDefault="00C06696" w:rsidP="0032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FD817" w14:textId="6FF6A5F6" w:rsidR="00C71115" w:rsidRDefault="00105F21">
    <w:pPr>
      <w:pStyle w:val="Cabealho"/>
    </w:pPr>
    <w:r>
      <w:rPr>
        <w:noProof/>
      </w:rPr>
      <w:pict w14:anchorId="17DF63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6236" o:spid="_x0000_s14341" type="#_x0000_t136" style="position:absolute;margin-left:0;margin-top:0;width:468.6pt;height:200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7BF0C" w14:textId="7C18EB80" w:rsidR="00C06696" w:rsidRDefault="00105F21" w:rsidP="00090AAA">
    <w:pPr>
      <w:pStyle w:val="Cabealho"/>
      <w:jc w:val="right"/>
      <w:rPr>
        <w:noProof/>
      </w:rPr>
    </w:pPr>
    <w:r>
      <w:rPr>
        <w:noProof/>
      </w:rPr>
      <w:pict w14:anchorId="37CE3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6237" o:spid="_x0000_s14342" type="#_x0000_t136" style="position:absolute;left:0;text-align:left;margin-left:0;margin-top:0;width:468.6pt;height:200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  <w:p w14:paraId="60269E3F" w14:textId="77777777" w:rsidR="00C06696" w:rsidRDefault="00C06696" w:rsidP="00090AAA">
    <w:pPr>
      <w:pStyle w:val="Cabealho"/>
      <w:jc w:val="right"/>
    </w:pPr>
    <w:r>
      <w:rPr>
        <w:noProof/>
      </w:rPr>
      <w:drawing>
        <wp:inline distT="0" distB="0" distL="0" distR="0" wp14:anchorId="27B958C4" wp14:editId="0C8F18B2">
          <wp:extent cx="817245" cy="381663"/>
          <wp:effectExtent l="0" t="0" r="190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49" cy="382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  <w:p w14:paraId="4491C82E" w14:textId="77777777" w:rsidR="00C06696" w:rsidRPr="00176B69" w:rsidRDefault="00C06696" w:rsidP="00090AAA">
    <w:pPr>
      <w:spacing w:line="140" w:lineRule="exact"/>
      <w:jc w:val="right"/>
      <w:rPr>
        <w:rFonts w:ascii="Arial" w:eastAsia="Arial" w:hAnsi="Arial" w:cs="Arial"/>
        <w:b/>
        <w:position w:val="-1"/>
        <w:sz w:val="16"/>
        <w:szCs w:val="14"/>
      </w:rPr>
    </w:pPr>
    <w:r w:rsidRPr="00A937E1">
      <w:rPr>
        <w:rFonts w:ascii="Arial" w:eastAsia="Arial" w:hAnsi="Arial" w:cs="Arial"/>
        <w:b/>
        <w:position w:val="-1"/>
        <w:sz w:val="18"/>
        <w:szCs w:val="14"/>
      </w:rPr>
      <w:t>CO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M</w:t>
    </w:r>
    <w:r w:rsidRPr="00A937E1">
      <w:rPr>
        <w:rFonts w:ascii="Arial" w:eastAsia="Arial" w:hAnsi="Arial" w:cs="Arial"/>
        <w:b/>
        <w:position w:val="-1"/>
        <w:sz w:val="18"/>
        <w:szCs w:val="14"/>
      </w:rPr>
      <w:t>I</w:t>
    </w:r>
    <w:r w:rsidRPr="00A937E1">
      <w:rPr>
        <w:rFonts w:ascii="Arial" w:eastAsia="Arial" w:hAnsi="Arial" w:cs="Arial"/>
        <w:b/>
        <w:spacing w:val="-1"/>
        <w:position w:val="-1"/>
        <w:sz w:val="18"/>
        <w:szCs w:val="14"/>
      </w:rPr>
      <w:t>T</w:t>
    </w:r>
    <w:r w:rsidRPr="00A937E1">
      <w:rPr>
        <w:rFonts w:ascii="Arial" w:eastAsia="Arial" w:hAnsi="Arial" w:cs="Arial"/>
        <w:b/>
        <w:position w:val="-1"/>
        <w:sz w:val="18"/>
        <w:szCs w:val="14"/>
      </w:rPr>
      <w:t>Ê</w:t>
    </w:r>
    <w:r w:rsidRPr="00A937E1">
      <w:rPr>
        <w:rFonts w:ascii="Arial" w:eastAsia="Arial" w:hAnsi="Arial" w:cs="Arial"/>
        <w:b/>
        <w:spacing w:val="-5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D</w:t>
    </w:r>
    <w:r w:rsidRPr="00A937E1">
      <w:rPr>
        <w:rFonts w:ascii="Arial" w:eastAsia="Arial" w:hAnsi="Arial" w:cs="Arial"/>
        <w:b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spacing w:val="-2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spacing w:val="3"/>
        <w:position w:val="-1"/>
        <w:sz w:val="18"/>
        <w:szCs w:val="14"/>
      </w:rPr>
      <w:t>B</w:t>
    </w:r>
    <w:r w:rsidRPr="00A937E1">
      <w:rPr>
        <w:rFonts w:ascii="Arial" w:eastAsia="Arial" w:hAnsi="Arial" w:cs="Arial"/>
        <w:b/>
        <w:spacing w:val="-2"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position w:val="-1"/>
        <w:sz w:val="18"/>
        <w:szCs w:val="14"/>
      </w:rPr>
      <w:t>C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I</w:t>
    </w:r>
    <w:r w:rsidRPr="00A937E1">
      <w:rPr>
        <w:rFonts w:ascii="Arial" w:eastAsia="Arial" w:hAnsi="Arial" w:cs="Arial"/>
        <w:b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spacing w:val="-4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position w:val="-1"/>
        <w:sz w:val="18"/>
        <w:szCs w:val="14"/>
      </w:rPr>
      <w:t>HIDR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O</w:t>
    </w:r>
    <w:r w:rsidRPr="00A937E1">
      <w:rPr>
        <w:rFonts w:ascii="Arial" w:eastAsia="Arial" w:hAnsi="Arial" w:cs="Arial"/>
        <w:b/>
        <w:position w:val="-1"/>
        <w:sz w:val="18"/>
        <w:szCs w:val="14"/>
      </w:rPr>
      <w:t>G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R</w:t>
    </w:r>
    <w:r w:rsidRPr="00A937E1">
      <w:rPr>
        <w:rFonts w:ascii="Arial" w:eastAsia="Arial" w:hAnsi="Arial" w:cs="Arial"/>
        <w:b/>
        <w:position w:val="-1"/>
        <w:sz w:val="18"/>
        <w:szCs w:val="14"/>
      </w:rPr>
      <w:t>Á</w:t>
    </w:r>
    <w:r w:rsidRPr="00A937E1">
      <w:rPr>
        <w:rFonts w:ascii="Arial" w:eastAsia="Arial" w:hAnsi="Arial" w:cs="Arial"/>
        <w:b/>
        <w:spacing w:val="-1"/>
        <w:position w:val="-1"/>
        <w:sz w:val="18"/>
        <w:szCs w:val="14"/>
      </w:rPr>
      <w:t>F</w:t>
    </w:r>
    <w:r w:rsidRPr="00A937E1">
      <w:rPr>
        <w:rFonts w:ascii="Arial" w:eastAsia="Arial" w:hAnsi="Arial" w:cs="Arial"/>
        <w:b/>
        <w:position w:val="-1"/>
        <w:sz w:val="18"/>
        <w:szCs w:val="14"/>
      </w:rPr>
      <w:t>I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C</w:t>
    </w:r>
    <w:r w:rsidRPr="00A937E1">
      <w:rPr>
        <w:rFonts w:ascii="Arial" w:eastAsia="Arial" w:hAnsi="Arial" w:cs="Arial"/>
        <w:b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spacing w:val="-11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position w:val="-1"/>
        <w:sz w:val="18"/>
        <w:szCs w:val="14"/>
      </w:rPr>
      <w:t xml:space="preserve">DO </w:t>
    </w:r>
    <w:r w:rsidRPr="00A937E1">
      <w:rPr>
        <w:rFonts w:ascii="Arial" w:eastAsia="Arial" w:hAnsi="Arial" w:cs="Arial"/>
        <w:b/>
        <w:spacing w:val="-2"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spacing w:val="1"/>
        <w:position w:val="-1"/>
        <w:sz w:val="18"/>
        <w:szCs w:val="14"/>
      </w:rPr>
      <w:t>L</w:t>
    </w:r>
    <w:r w:rsidRPr="00A937E1">
      <w:rPr>
        <w:rFonts w:ascii="Arial" w:eastAsia="Arial" w:hAnsi="Arial" w:cs="Arial"/>
        <w:b/>
        <w:spacing w:val="-1"/>
        <w:position w:val="-1"/>
        <w:sz w:val="18"/>
        <w:szCs w:val="14"/>
      </w:rPr>
      <w:t>T</w:t>
    </w:r>
    <w:r w:rsidRPr="00A937E1">
      <w:rPr>
        <w:rFonts w:ascii="Arial" w:eastAsia="Arial" w:hAnsi="Arial" w:cs="Arial"/>
        <w:b/>
        <w:position w:val="-1"/>
        <w:sz w:val="18"/>
        <w:szCs w:val="14"/>
      </w:rPr>
      <w:t>O</w:t>
    </w:r>
    <w:r w:rsidRPr="00A937E1">
      <w:rPr>
        <w:rFonts w:ascii="Arial" w:eastAsia="Arial" w:hAnsi="Arial" w:cs="Arial"/>
        <w:b/>
        <w:spacing w:val="-2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spacing w:val="1"/>
        <w:position w:val="-1"/>
        <w:sz w:val="18"/>
        <w:szCs w:val="14"/>
      </w:rPr>
      <w:t>T</w:t>
    </w:r>
    <w:r w:rsidRPr="00A937E1">
      <w:rPr>
        <w:rFonts w:ascii="Arial" w:eastAsia="Arial" w:hAnsi="Arial" w:cs="Arial"/>
        <w:b/>
        <w:position w:val="-1"/>
        <w:sz w:val="18"/>
        <w:szCs w:val="14"/>
      </w:rPr>
      <w:t>IE</w:t>
    </w:r>
    <w:r w:rsidRPr="00A937E1">
      <w:rPr>
        <w:rFonts w:ascii="Arial" w:eastAsia="Arial" w:hAnsi="Arial" w:cs="Arial"/>
        <w:b/>
        <w:spacing w:val="-1"/>
        <w:position w:val="-1"/>
        <w:sz w:val="18"/>
        <w:szCs w:val="14"/>
      </w:rPr>
      <w:t>T</w:t>
    </w:r>
    <w:r w:rsidRPr="00A937E1">
      <w:rPr>
        <w:rFonts w:ascii="Arial" w:eastAsia="Arial" w:hAnsi="Arial" w:cs="Arial"/>
        <w:b/>
        <w:position w:val="-1"/>
        <w:sz w:val="18"/>
        <w:szCs w:val="14"/>
      </w:rPr>
      <w:t>Ê</w:t>
    </w:r>
  </w:p>
  <w:p w14:paraId="5A267C17" w14:textId="0CBF78B9" w:rsidR="00C06696" w:rsidRDefault="00C0669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C059" w14:textId="214083A6" w:rsidR="00C06696" w:rsidRDefault="00105F21" w:rsidP="00090AAA">
    <w:pPr>
      <w:pStyle w:val="Cabealho"/>
      <w:jc w:val="right"/>
    </w:pPr>
    <w:r>
      <w:rPr>
        <w:noProof/>
      </w:rPr>
      <w:pict w14:anchorId="3F1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6235" o:spid="_x0000_s14340" type="#_x0000_t136" style="position:absolute;left:0;text-align:left;margin-left:0;margin-top:0;width:468.6pt;height:200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  <w:p w14:paraId="485227A0" w14:textId="77777777" w:rsidR="00C06696" w:rsidRDefault="00C06696" w:rsidP="00090AAA">
    <w:pPr>
      <w:pStyle w:val="Cabealho"/>
      <w:jc w:val="right"/>
    </w:pPr>
    <w:r>
      <w:rPr>
        <w:noProof/>
      </w:rPr>
      <w:drawing>
        <wp:inline distT="0" distB="0" distL="0" distR="0" wp14:anchorId="782D1005" wp14:editId="73CC7E2F">
          <wp:extent cx="817245" cy="381663"/>
          <wp:effectExtent l="0" t="0" r="190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49" cy="382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</w:p>
  <w:p w14:paraId="12C70590" w14:textId="77777777" w:rsidR="00C06696" w:rsidRPr="00176B69" w:rsidRDefault="00C06696" w:rsidP="00090AAA">
    <w:pPr>
      <w:spacing w:line="140" w:lineRule="exact"/>
      <w:jc w:val="right"/>
      <w:rPr>
        <w:rFonts w:ascii="Arial" w:eastAsia="Arial" w:hAnsi="Arial" w:cs="Arial"/>
        <w:b/>
        <w:position w:val="-1"/>
        <w:sz w:val="16"/>
        <w:szCs w:val="14"/>
      </w:rPr>
    </w:pPr>
    <w:r w:rsidRPr="00A937E1">
      <w:rPr>
        <w:rFonts w:ascii="Arial" w:eastAsia="Arial" w:hAnsi="Arial" w:cs="Arial"/>
        <w:b/>
        <w:position w:val="-1"/>
        <w:sz w:val="18"/>
        <w:szCs w:val="14"/>
      </w:rPr>
      <w:t>CO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M</w:t>
    </w:r>
    <w:r w:rsidRPr="00A937E1">
      <w:rPr>
        <w:rFonts w:ascii="Arial" w:eastAsia="Arial" w:hAnsi="Arial" w:cs="Arial"/>
        <w:b/>
        <w:position w:val="-1"/>
        <w:sz w:val="18"/>
        <w:szCs w:val="14"/>
      </w:rPr>
      <w:t>I</w:t>
    </w:r>
    <w:r w:rsidRPr="00A937E1">
      <w:rPr>
        <w:rFonts w:ascii="Arial" w:eastAsia="Arial" w:hAnsi="Arial" w:cs="Arial"/>
        <w:b/>
        <w:spacing w:val="-1"/>
        <w:position w:val="-1"/>
        <w:sz w:val="18"/>
        <w:szCs w:val="14"/>
      </w:rPr>
      <w:t>T</w:t>
    </w:r>
    <w:r w:rsidRPr="00A937E1">
      <w:rPr>
        <w:rFonts w:ascii="Arial" w:eastAsia="Arial" w:hAnsi="Arial" w:cs="Arial"/>
        <w:b/>
        <w:position w:val="-1"/>
        <w:sz w:val="18"/>
        <w:szCs w:val="14"/>
      </w:rPr>
      <w:t>Ê</w:t>
    </w:r>
    <w:r w:rsidRPr="00A937E1">
      <w:rPr>
        <w:rFonts w:ascii="Arial" w:eastAsia="Arial" w:hAnsi="Arial" w:cs="Arial"/>
        <w:b/>
        <w:spacing w:val="-5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D</w:t>
    </w:r>
    <w:r w:rsidRPr="00A937E1">
      <w:rPr>
        <w:rFonts w:ascii="Arial" w:eastAsia="Arial" w:hAnsi="Arial" w:cs="Arial"/>
        <w:b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spacing w:val="-2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spacing w:val="3"/>
        <w:position w:val="-1"/>
        <w:sz w:val="18"/>
        <w:szCs w:val="14"/>
      </w:rPr>
      <w:t>B</w:t>
    </w:r>
    <w:r w:rsidRPr="00A937E1">
      <w:rPr>
        <w:rFonts w:ascii="Arial" w:eastAsia="Arial" w:hAnsi="Arial" w:cs="Arial"/>
        <w:b/>
        <w:spacing w:val="-2"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position w:val="-1"/>
        <w:sz w:val="18"/>
        <w:szCs w:val="14"/>
      </w:rPr>
      <w:t>C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I</w:t>
    </w:r>
    <w:r w:rsidRPr="00A937E1">
      <w:rPr>
        <w:rFonts w:ascii="Arial" w:eastAsia="Arial" w:hAnsi="Arial" w:cs="Arial"/>
        <w:b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spacing w:val="-4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position w:val="-1"/>
        <w:sz w:val="18"/>
        <w:szCs w:val="14"/>
      </w:rPr>
      <w:t>HIDR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O</w:t>
    </w:r>
    <w:r w:rsidRPr="00A937E1">
      <w:rPr>
        <w:rFonts w:ascii="Arial" w:eastAsia="Arial" w:hAnsi="Arial" w:cs="Arial"/>
        <w:b/>
        <w:position w:val="-1"/>
        <w:sz w:val="18"/>
        <w:szCs w:val="14"/>
      </w:rPr>
      <w:t>G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R</w:t>
    </w:r>
    <w:r w:rsidRPr="00A937E1">
      <w:rPr>
        <w:rFonts w:ascii="Arial" w:eastAsia="Arial" w:hAnsi="Arial" w:cs="Arial"/>
        <w:b/>
        <w:position w:val="-1"/>
        <w:sz w:val="18"/>
        <w:szCs w:val="14"/>
      </w:rPr>
      <w:t>Á</w:t>
    </w:r>
    <w:r w:rsidRPr="00A937E1">
      <w:rPr>
        <w:rFonts w:ascii="Arial" w:eastAsia="Arial" w:hAnsi="Arial" w:cs="Arial"/>
        <w:b/>
        <w:spacing w:val="-1"/>
        <w:position w:val="-1"/>
        <w:sz w:val="18"/>
        <w:szCs w:val="14"/>
      </w:rPr>
      <w:t>F</w:t>
    </w:r>
    <w:r w:rsidRPr="00A937E1">
      <w:rPr>
        <w:rFonts w:ascii="Arial" w:eastAsia="Arial" w:hAnsi="Arial" w:cs="Arial"/>
        <w:b/>
        <w:position w:val="-1"/>
        <w:sz w:val="18"/>
        <w:szCs w:val="14"/>
      </w:rPr>
      <w:t>I</w:t>
    </w:r>
    <w:r w:rsidRPr="00A937E1">
      <w:rPr>
        <w:rFonts w:ascii="Arial" w:eastAsia="Arial" w:hAnsi="Arial" w:cs="Arial"/>
        <w:b/>
        <w:spacing w:val="2"/>
        <w:position w:val="-1"/>
        <w:sz w:val="18"/>
        <w:szCs w:val="14"/>
      </w:rPr>
      <w:t>C</w:t>
    </w:r>
    <w:r w:rsidRPr="00A937E1">
      <w:rPr>
        <w:rFonts w:ascii="Arial" w:eastAsia="Arial" w:hAnsi="Arial" w:cs="Arial"/>
        <w:b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spacing w:val="-11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position w:val="-1"/>
        <w:sz w:val="18"/>
        <w:szCs w:val="14"/>
      </w:rPr>
      <w:t xml:space="preserve">DO </w:t>
    </w:r>
    <w:r w:rsidRPr="00A937E1">
      <w:rPr>
        <w:rFonts w:ascii="Arial" w:eastAsia="Arial" w:hAnsi="Arial" w:cs="Arial"/>
        <w:b/>
        <w:spacing w:val="-2"/>
        <w:position w:val="-1"/>
        <w:sz w:val="18"/>
        <w:szCs w:val="14"/>
      </w:rPr>
      <w:t>A</w:t>
    </w:r>
    <w:r w:rsidRPr="00A937E1">
      <w:rPr>
        <w:rFonts w:ascii="Arial" w:eastAsia="Arial" w:hAnsi="Arial" w:cs="Arial"/>
        <w:b/>
        <w:spacing w:val="1"/>
        <w:position w:val="-1"/>
        <w:sz w:val="18"/>
        <w:szCs w:val="14"/>
      </w:rPr>
      <w:t>L</w:t>
    </w:r>
    <w:r w:rsidRPr="00A937E1">
      <w:rPr>
        <w:rFonts w:ascii="Arial" w:eastAsia="Arial" w:hAnsi="Arial" w:cs="Arial"/>
        <w:b/>
        <w:spacing w:val="-1"/>
        <w:position w:val="-1"/>
        <w:sz w:val="18"/>
        <w:szCs w:val="14"/>
      </w:rPr>
      <w:t>T</w:t>
    </w:r>
    <w:r w:rsidRPr="00A937E1">
      <w:rPr>
        <w:rFonts w:ascii="Arial" w:eastAsia="Arial" w:hAnsi="Arial" w:cs="Arial"/>
        <w:b/>
        <w:position w:val="-1"/>
        <w:sz w:val="18"/>
        <w:szCs w:val="14"/>
      </w:rPr>
      <w:t>O</w:t>
    </w:r>
    <w:r w:rsidRPr="00A937E1">
      <w:rPr>
        <w:rFonts w:ascii="Arial" w:eastAsia="Arial" w:hAnsi="Arial" w:cs="Arial"/>
        <w:b/>
        <w:spacing w:val="-2"/>
        <w:position w:val="-1"/>
        <w:sz w:val="18"/>
        <w:szCs w:val="14"/>
      </w:rPr>
      <w:t xml:space="preserve"> </w:t>
    </w:r>
    <w:r w:rsidRPr="00A937E1">
      <w:rPr>
        <w:rFonts w:ascii="Arial" w:eastAsia="Arial" w:hAnsi="Arial" w:cs="Arial"/>
        <w:b/>
        <w:spacing w:val="1"/>
        <w:position w:val="-1"/>
        <w:sz w:val="18"/>
        <w:szCs w:val="14"/>
      </w:rPr>
      <w:t>T</w:t>
    </w:r>
    <w:r w:rsidRPr="00A937E1">
      <w:rPr>
        <w:rFonts w:ascii="Arial" w:eastAsia="Arial" w:hAnsi="Arial" w:cs="Arial"/>
        <w:b/>
        <w:position w:val="-1"/>
        <w:sz w:val="18"/>
        <w:szCs w:val="14"/>
      </w:rPr>
      <w:t>IE</w:t>
    </w:r>
    <w:r w:rsidRPr="00A937E1">
      <w:rPr>
        <w:rFonts w:ascii="Arial" w:eastAsia="Arial" w:hAnsi="Arial" w:cs="Arial"/>
        <w:b/>
        <w:spacing w:val="-1"/>
        <w:position w:val="-1"/>
        <w:sz w:val="18"/>
        <w:szCs w:val="14"/>
      </w:rPr>
      <w:t>T</w:t>
    </w:r>
    <w:r w:rsidRPr="00A937E1">
      <w:rPr>
        <w:rFonts w:ascii="Arial" w:eastAsia="Arial" w:hAnsi="Arial" w:cs="Arial"/>
        <w:b/>
        <w:position w:val="-1"/>
        <w:sz w:val="18"/>
        <w:szCs w:val="14"/>
      </w:rPr>
      <w:t>Ê</w:t>
    </w:r>
  </w:p>
  <w:p w14:paraId="48DAA366" w14:textId="57C79001" w:rsidR="00C06696" w:rsidRDefault="00C066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258E"/>
    <w:multiLevelType w:val="multilevel"/>
    <w:tmpl w:val="392A4D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1028A5"/>
    <w:multiLevelType w:val="hybridMultilevel"/>
    <w:tmpl w:val="86D65CDA"/>
    <w:lvl w:ilvl="0" w:tplc="890E43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258EA"/>
    <w:multiLevelType w:val="hybridMultilevel"/>
    <w:tmpl w:val="49000BE0"/>
    <w:lvl w:ilvl="0" w:tplc="EF9A7692">
      <w:start w:val="1"/>
      <w:numFmt w:val="bullet"/>
      <w:pStyle w:val="TxtBAseRec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4C7E3B74"/>
    <w:multiLevelType w:val="hybridMultilevel"/>
    <w:tmpl w:val="395033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60"/>
    <w:rsid w:val="00003D0D"/>
    <w:rsid w:val="00004043"/>
    <w:rsid w:val="00033A82"/>
    <w:rsid w:val="000348BF"/>
    <w:rsid w:val="000407F1"/>
    <w:rsid w:val="00043707"/>
    <w:rsid w:val="00056927"/>
    <w:rsid w:val="00067A7F"/>
    <w:rsid w:val="00072A3A"/>
    <w:rsid w:val="00076376"/>
    <w:rsid w:val="0007665B"/>
    <w:rsid w:val="00082605"/>
    <w:rsid w:val="00082A06"/>
    <w:rsid w:val="00082D07"/>
    <w:rsid w:val="00084E1E"/>
    <w:rsid w:val="00086674"/>
    <w:rsid w:val="000877D1"/>
    <w:rsid w:val="00090AAA"/>
    <w:rsid w:val="000B5CC6"/>
    <w:rsid w:val="000C2AA8"/>
    <w:rsid w:val="000C3E2F"/>
    <w:rsid w:val="000C725B"/>
    <w:rsid w:val="000D241B"/>
    <w:rsid w:val="000D6007"/>
    <w:rsid w:val="000F069A"/>
    <w:rsid w:val="000F2663"/>
    <w:rsid w:val="00105F21"/>
    <w:rsid w:val="00107FD8"/>
    <w:rsid w:val="0011081A"/>
    <w:rsid w:val="00134FB7"/>
    <w:rsid w:val="00144132"/>
    <w:rsid w:val="00145ECE"/>
    <w:rsid w:val="001474D0"/>
    <w:rsid w:val="00150B5D"/>
    <w:rsid w:val="00163756"/>
    <w:rsid w:val="0016383A"/>
    <w:rsid w:val="001648F8"/>
    <w:rsid w:val="0016709D"/>
    <w:rsid w:val="0017037F"/>
    <w:rsid w:val="0017055B"/>
    <w:rsid w:val="00171411"/>
    <w:rsid w:val="00176B69"/>
    <w:rsid w:val="0018307C"/>
    <w:rsid w:val="00183753"/>
    <w:rsid w:val="001850AD"/>
    <w:rsid w:val="00187767"/>
    <w:rsid w:val="001A5144"/>
    <w:rsid w:val="001B4017"/>
    <w:rsid w:val="001B7548"/>
    <w:rsid w:val="001C41FB"/>
    <w:rsid w:val="001D1B49"/>
    <w:rsid w:val="001D47DA"/>
    <w:rsid w:val="001D54CC"/>
    <w:rsid w:val="001D6138"/>
    <w:rsid w:val="001D657E"/>
    <w:rsid w:val="00206F9C"/>
    <w:rsid w:val="00210F3A"/>
    <w:rsid w:val="00212CE9"/>
    <w:rsid w:val="002139EB"/>
    <w:rsid w:val="002142EA"/>
    <w:rsid w:val="00234090"/>
    <w:rsid w:val="00242314"/>
    <w:rsid w:val="00255293"/>
    <w:rsid w:val="00257C6B"/>
    <w:rsid w:val="00261A7E"/>
    <w:rsid w:val="0026414C"/>
    <w:rsid w:val="00267436"/>
    <w:rsid w:val="002705C0"/>
    <w:rsid w:val="00277696"/>
    <w:rsid w:val="00283125"/>
    <w:rsid w:val="0028788D"/>
    <w:rsid w:val="002906DA"/>
    <w:rsid w:val="002A0B14"/>
    <w:rsid w:val="002A39BA"/>
    <w:rsid w:val="002B588C"/>
    <w:rsid w:val="002C73FF"/>
    <w:rsid w:val="00301B60"/>
    <w:rsid w:val="00303509"/>
    <w:rsid w:val="0030364A"/>
    <w:rsid w:val="003123CF"/>
    <w:rsid w:val="00315194"/>
    <w:rsid w:val="00321B4F"/>
    <w:rsid w:val="00322728"/>
    <w:rsid w:val="00326315"/>
    <w:rsid w:val="0033049F"/>
    <w:rsid w:val="0033347A"/>
    <w:rsid w:val="0033452B"/>
    <w:rsid w:val="00344362"/>
    <w:rsid w:val="00354220"/>
    <w:rsid w:val="00356EA1"/>
    <w:rsid w:val="00367B73"/>
    <w:rsid w:val="00377981"/>
    <w:rsid w:val="00380516"/>
    <w:rsid w:val="00380609"/>
    <w:rsid w:val="00382EAB"/>
    <w:rsid w:val="003C0037"/>
    <w:rsid w:val="003C1168"/>
    <w:rsid w:val="003C4879"/>
    <w:rsid w:val="003C7928"/>
    <w:rsid w:val="003C7CD5"/>
    <w:rsid w:val="003D59A9"/>
    <w:rsid w:val="003E3542"/>
    <w:rsid w:val="003E71BB"/>
    <w:rsid w:val="003E76AF"/>
    <w:rsid w:val="003F04FF"/>
    <w:rsid w:val="00403542"/>
    <w:rsid w:val="00412364"/>
    <w:rsid w:val="00412FD5"/>
    <w:rsid w:val="00423E58"/>
    <w:rsid w:val="004276B9"/>
    <w:rsid w:val="0045680A"/>
    <w:rsid w:val="004652EA"/>
    <w:rsid w:val="004659F3"/>
    <w:rsid w:val="004660FB"/>
    <w:rsid w:val="00466BE6"/>
    <w:rsid w:val="00472B4D"/>
    <w:rsid w:val="0048178A"/>
    <w:rsid w:val="00490A09"/>
    <w:rsid w:val="00494DBE"/>
    <w:rsid w:val="004A26CA"/>
    <w:rsid w:val="004A29A4"/>
    <w:rsid w:val="004A416C"/>
    <w:rsid w:val="004A4486"/>
    <w:rsid w:val="004B463F"/>
    <w:rsid w:val="004B4D1A"/>
    <w:rsid w:val="004B6C10"/>
    <w:rsid w:val="004C1126"/>
    <w:rsid w:val="004C34B3"/>
    <w:rsid w:val="004C5278"/>
    <w:rsid w:val="004C67FD"/>
    <w:rsid w:val="004D2FFF"/>
    <w:rsid w:val="004D4268"/>
    <w:rsid w:val="004D4F85"/>
    <w:rsid w:val="004D5358"/>
    <w:rsid w:val="004D6E20"/>
    <w:rsid w:val="004E6594"/>
    <w:rsid w:val="004F01BA"/>
    <w:rsid w:val="004F6D5C"/>
    <w:rsid w:val="004F7579"/>
    <w:rsid w:val="00504BAA"/>
    <w:rsid w:val="00505A41"/>
    <w:rsid w:val="00510858"/>
    <w:rsid w:val="005133A6"/>
    <w:rsid w:val="00517E94"/>
    <w:rsid w:val="00523E16"/>
    <w:rsid w:val="005355FD"/>
    <w:rsid w:val="00543FFD"/>
    <w:rsid w:val="00547579"/>
    <w:rsid w:val="0055094B"/>
    <w:rsid w:val="0055323A"/>
    <w:rsid w:val="005544FC"/>
    <w:rsid w:val="00564D7E"/>
    <w:rsid w:val="00581176"/>
    <w:rsid w:val="00587D65"/>
    <w:rsid w:val="00591D3E"/>
    <w:rsid w:val="005921A2"/>
    <w:rsid w:val="00592C38"/>
    <w:rsid w:val="005A19F0"/>
    <w:rsid w:val="005A4C35"/>
    <w:rsid w:val="005A5922"/>
    <w:rsid w:val="005C688D"/>
    <w:rsid w:val="005D7E84"/>
    <w:rsid w:val="005E3115"/>
    <w:rsid w:val="005E41CD"/>
    <w:rsid w:val="005F6707"/>
    <w:rsid w:val="005F6992"/>
    <w:rsid w:val="00601A42"/>
    <w:rsid w:val="00602EA5"/>
    <w:rsid w:val="00621B8D"/>
    <w:rsid w:val="00627612"/>
    <w:rsid w:val="006351D1"/>
    <w:rsid w:val="00642F55"/>
    <w:rsid w:val="00674B11"/>
    <w:rsid w:val="006774E8"/>
    <w:rsid w:val="006A2E0C"/>
    <w:rsid w:val="006B6D4F"/>
    <w:rsid w:val="006C3621"/>
    <w:rsid w:val="006D79EF"/>
    <w:rsid w:val="006D7EEC"/>
    <w:rsid w:val="006E30C7"/>
    <w:rsid w:val="006E42DB"/>
    <w:rsid w:val="006E63E0"/>
    <w:rsid w:val="006F5316"/>
    <w:rsid w:val="0070498E"/>
    <w:rsid w:val="007159C2"/>
    <w:rsid w:val="00727060"/>
    <w:rsid w:val="00732B52"/>
    <w:rsid w:val="00734663"/>
    <w:rsid w:val="0073649A"/>
    <w:rsid w:val="0074300F"/>
    <w:rsid w:val="00745EE6"/>
    <w:rsid w:val="00766AA1"/>
    <w:rsid w:val="00772A40"/>
    <w:rsid w:val="007815D5"/>
    <w:rsid w:val="00786C37"/>
    <w:rsid w:val="00793D1E"/>
    <w:rsid w:val="00794B48"/>
    <w:rsid w:val="007A0341"/>
    <w:rsid w:val="007B2CCC"/>
    <w:rsid w:val="007B3507"/>
    <w:rsid w:val="007B3BDE"/>
    <w:rsid w:val="007B5327"/>
    <w:rsid w:val="007B63D3"/>
    <w:rsid w:val="007D2226"/>
    <w:rsid w:val="007F5E76"/>
    <w:rsid w:val="008002F5"/>
    <w:rsid w:val="008114C7"/>
    <w:rsid w:val="0081364C"/>
    <w:rsid w:val="00817676"/>
    <w:rsid w:val="0082009F"/>
    <w:rsid w:val="00825804"/>
    <w:rsid w:val="008266BA"/>
    <w:rsid w:val="00844610"/>
    <w:rsid w:val="0085096C"/>
    <w:rsid w:val="008606CA"/>
    <w:rsid w:val="00861233"/>
    <w:rsid w:val="008635BB"/>
    <w:rsid w:val="0087517B"/>
    <w:rsid w:val="00882F60"/>
    <w:rsid w:val="00887204"/>
    <w:rsid w:val="008B1DBD"/>
    <w:rsid w:val="008B5328"/>
    <w:rsid w:val="008C7E80"/>
    <w:rsid w:val="008D4EAF"/>
    <w:rsid w:val="008F3093"/>
    <w:rsid w:val="008F7D7A"/>
    <w:rsid w:val="00906D28"/>
    <w:rsid w:val="009252DD"/>
    <w:rsid w:val="0093273E"/>
    <w:rsid w:val="00936F3D"/>
    <w:rsid w:val="00952506"/>
    <w:rsid w:val="00954C9B"/>
    <w:rsid w:val="00964B23"/>
    <w:rsid w:val="009652F7"/>
    <w:rsid w:val="009704D1"/>
    <w:rsid w:val="00971FEE"/>
    <w:rsid w:val="00973987"/>
    <w:rsid w:val="0097483D"/>
    <w:rsid w:val="0097583B"/>
    <w:rsid w:val="009831EC"/>
    <w:rsid w:val="0099280C"/>
    <w:rsid w:val="009A2DEA"/>
    <w:rsid w:val="009B567A"/>
    <w:rsid w:val="009B5C64"/>
    <w:rsid w:val="009C48DD"/>
    <w:rsid w:val="009D3400"/>
    <w:rsid w:val="009D63CE"/>
    <w:rsid w:val="009E2F2A"/>
    <w:rsid w:val="009F14E4"/>
    <w:rsid w:val="00A1117D"/>
    <w:rsid w:val="00A13AE0"/>
    <w:rsid w:val="00A17452"/>
    <w:rsid w:val="00A17B1D"/>
    <w:rsid w:val="00A2062C"/>
    <w:rsid w:val="00A35683"/>
    <w:rsid w:val="00A43BD5"/>
    <w:rsid w:val="00A441C8"/>
    <w:rsid w:val="00A52765"/>
    <w:rsid w:val="00A56E14"/>
    <w:rsid w:val="00A632E9"/>
    <w:rsid w:val="00A64C20"/>
    <w:rsid w:val="00A65342"/>
    <w:rsid w:val="00A74377"/>
    <w:rsid w:val="00A87E36"/>
    <w:rsid w:val="00A959B4"/>
    <w:rsid w:val="00AB0356"/>
    <w:rsid w:val="00AB2BC9"/>
    <w:rsid w:val="00AB36E5"/>
    <w:rsid w:val="00AD4004"/>
    <w:rsid w:val="00AD62DD"/>
    <w:rsid w:val="00AD64A8"/>
    <w:rsid w:val="00AF29B3"/>
    <w:rsid w:val="00B00186"/>
    <w:rsid w:val="00B0786D"/>
    <w:rsid w:val="00B178B9"/>
    <w:rsid w:val="00B17DA2"/>
    <w:rsid w:val="00B216D6"/>
    <w:rsid w:val="00B44777"/>
    <w:rsid w:val="00B44853"/>
    <w:rsid w:val="00B53F1A"/>
    <w:rsid w:val="00B54A34"/>
    <w:rsid w:val="00B61B21"/>
    <w:rsid w:val="00B6650B"/>
    <w:rsid w:val="00B67E11"/>
    <w:rsid w:val="00B836EB"/>
    <w:rsid w:val="00B87439"/>
    <w:rsid w:val="00BA3ECF"/>
    <w:rsid w:val="00BA4796"/>
    <w:rsid w:val="00BB2A2A"/>
    <w:rsid w:val="00BB71BC"/>
    <w:rsid w:val="00BC6456"/>
    <w:rsid w:val="00BD5A96"/>
    <w:rsid w:val="00BD7C58"/>
    <w:rsid w:val="00BF58DC"/>
    <w:rsid w:val="00C06696"/>
    <w:rsid w:val="00C139D3"/>
    <w:rsid w:val="00C15E6A"/>
    <w:rsid w:val="00C23AF6"/>
    <w:rsid w:val="00C27BDD"/>
    <w:rsid w:val="00C430FD"/>
    <w:rsid w:val="00C71115"/>
    <w:rsid w:val="00CA3BC8"/>
    <w:rsid w:val="00CB60D4"/>
    <w:rsid w:val="00CD3110"/>
    <w:rsid w:val="00CE7201"/>
    <w:rsid w:val="00D234E4"/>
    <w:rsid w:val="00D2516B"/>
    <w:rsid w:val="00D45B15"/>
    <w:rsid w:val="00D605E6"/>
    <w:rsid w:val="00D6272C"/>
    <w:rsid w:val="00D6313B"/>
    <w:rsid w:val="00D71E31"/>
    <w:rsid w:val="00D72BC2"/>
    <w:rsid w:val="00DA414D"/>
    <w:rsid w:val="00DB34FA"/>
    <w:rsid w:val="00DC1D18"/>
    <w:rsid w:val="00DD20BF"/>
    <w:rsid w:val="00DE18CC"/>
    <w:rsid w:val="00DF0720"/>
    <w:rsid w:val="00DF7A81"/>
    <w:rsid w:val="00E017CE"/>
    <w:rsid w:val="00E209CB"/>
    <w:rsid w:val="00E23541"/>
    <w:rsid w:val="00E25B3C"/>
    <w:rsid w:val="00E32E79"/>
    <w:rsid w:val="00E34060"/>
    <w:rsid w:val="00E35018"/>
    <w:rsid w:val="00E421C9"/>
    <w:rsid w:val="00E44CF4"/>
    <w:rsid w:val="00E537E3"/>
    <w:rsid w:val="00E55814"/>
    <w:rsid w:val="00E56344"/>
    <w:rsid w:val="00E566D9"/>
    <w:rsid w:val="00E6757D"/>
    <w:rsid w:val="00E67C01"/>
    <w:rsid w:val="00E7086E"/>
    <w:rsid w:val="00E73AB1"/>
    <w:rsid w:val="00E94CB6"/>
    <w:rsid w:val="00E96724"/>
    <w:rsid w:val="00E96D74"/>
    <w:rsid w:val="00E9748F"/>
    <w:rsid w:val="00EA42A5"/>
    <w:rsid w:val="00EA504F"/>
    <w:rsid w:val="00EB7E94"/>
    <w:rsid w:val="00ED4B62"/>
    <w:rsid w:val="00EE1C1B"/>
    <w:rsid w:val="00EF1FEE"/>
    <w:rsid w:val="00F01FD6"/>
    <w:rsid w:val="00F05902"/>
    <w:rsid w:val="00F3516C"/>
    <w:rsid w:val="00F3585A"/>
    <w:rsid w:val="00F35CA2"/>
    <w:rsid w:val="00F360B6"/>
    <w:rsid w:val="00F41C7C"/>
    <w:rsid w:val="00F45125"/>
    <w:rsid w:val="00F50B0C"/>
    <w:rsid w:val="00F5425F"/>
    <w:rsid w:val="00F62C53"/>
    <w:rsid w:val="00F73D0E"/>
    <w:rsid w:val="00F760BD"/>
    <w:rsid w:val="00F87146"/>
    <w:rsid w:val="00F9414E"/>
    <w:rsid w:val="00F951DD"/>
    <w:rsid w:val="00FA00A0"/>
    <w:rsid w:val="00FA23CE"/>
    <w:rsid w:val="00FB30D5"/>
    <w:rsid w:val="00FB517A"/>
    <w:rsid w:val="00FD1731"/>
    <w:rsid w:val="00FD3AED"/>
    <w:rsid w:val="00FE4012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1"/>
    </o:shapelayout>
  </w:shapeDefaults>
  <w:decimalSymbol w:val=","/>
  <w:listSeparator w:val=";"/>
  <w14:docId w14:val="0EBF934E"/>
  <w15:docId w15:val="{B7CF5288-3940-46B7-925D-FE0527B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22728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272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272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2728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2728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32272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2728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2728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2728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86E"/>
    <w:pPr>
      <w:ind w:left="720"/>
      <w:contextualSpacing/>
    </w:pPr>
  </w:style>
  <w:style w:type="paragraph" w:styleId="NormalWeb">
    <w:name w:val="Normal (Web)"/>
    <w:basedOn w:val="Normal"/>
    <w:uiPriority w:val="99"/>
    <w:rsid w:val="00621B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621B8D"/>
    <w:pPr>
      <w:widowControl w:val="0"/>
      <w:autoSpaceDE w:val="0"/>
      <w:autoSpaceDN w:val="0"/>
      <w:adjustRightInd w:val="0"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21B8D"/>
    <w:rPr>
      <w:rFonts w:ascii="Arial" w:eastAsia="Times New Roman"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2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227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3227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3227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2728"/>
    <w:rPr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2728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322728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2728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2728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2728"/>
    <w:rPr>
      <w:rFonts w:asciiTheme="majorHAnsi" w:eastAsiaTheme="majorEastAsia" w:hAnsiTheme="majorHAnsi" w:cstheme="majorBidi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227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227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728"/>
    <w:rPr>
      <w:vertAlign w:val="superscript"/>
    </w:rPr>
  </w:style>
  <w:style w:type="paragraph" w:customStyle="1" w:styleId="TxtBAseRec">
    <w:name w:val="Txt BAse Rec"/>
    <w:basedOn w:val="Normal"/>
    <w:link w:val="TxtBAseRecChar"/>
    <w:qFormat/>
    <w:rsid w:val="00107FD8"/>
    <w:pPr>
      <w:numPr>
        <w:numId w:val="2"/>
      </w:numPr>
      <w:tabs>
        <w:tab w:val="left" w:pos="113"/>
        <w:tab w:val="left" w:pos="284"/>
      </w:tabs>
      <w:spacing w:after="240" w:line="240" w:lineRule="auto"/>
      <w:jc w:val="both"/>
    </w:pPr>
    <w:rPr>
      <w:rFonts w:ascii="Times New Roman" w:eastAsia="Calibri" w:hAnsi="Times New Roman" w:cs="Times New Roman"/>
      <w:sz w:val="24"/>
      <w:lang w:val="x-none" w:eastAsia="en-US"/>
    </w:rPr>
  </w:style>
  <w:style w:type="character" w:customStyle="1" w:styleId="TxtBAseRecChar">
    <w:name w:val="Txt BAse Rec Char"/>
    <w:basedOn w:val="Fontepargpadro"/>
    <w:link w:val="TxtBAseRec"/>
    <w:rsid w:val="00107FD8"/>
    <w:rPr>
      <w:rFonts w:ascii="Times New Roman" w:eastAsia="Calibri" w:hAnsi="Times New Roman" w:cs="Times New Roman"/>
      <w:sz w:val="24"/>
      <w:lang w:val="x-none" w:eastAsia="en-US"/>
    </w:rPr>
  </w:style>
  <w:style w:type="paragraph" w:styleId="Cabealho">
    <w:name w:val="header"/>
    <w:basedOn w:val="Normal"/>
    <w:link w:val="CabealhoChar"/>
    <w:unhideWhenUsed/>
    <w:rsid w:val="00176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6B69"/>
  </w:style>
  <w:style w:type="paragraph" w:styleId="Rodap">
    <w:name w:val="footer"/>
    <w:basedOn w:val="Normal"/>
    <w:link w:val="RodapChar"/>
    <w:uiPriority w:val="99"/>
    <w:unhideWhenUsed/>
    <w:rsid w:val="00176B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B69"/>
  </w:style>
  <w:style w:type="paragraph" w:styleId="Corpodetexto2">
    <w:name w:val="Body Text 2"/>
    <w:basedOn w:val="Normal"/>
    <w:link w:val="Corpodetexto2Char"/>
    <w:uiPriority w:val="99"/>
    <w:unhideWhenUsed/>
    <w:rsid w:val="006D79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D79EF"/>
  </w:style>
  <w:style w:type="table" w:styleId="Tabelacomgrade">
    <w:name w:val="Table Grid"/>
    <w:basedOn w:val="Tabelanormal"/>
    <w:uiPriority w:val="59"/>
    <w:rsid w:val="00D2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2A39BA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A39B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517E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7E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7E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E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E9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17E94"/>
    <w:pPr>
      <w:spacing w:after="0" w:line="240" w:lineRule="auto"/>
    </w:pPr>
  </w:style>
  <w:style w:type="numbering" w:customStyle="1" w:styleId="Semlista1">
    <w:name w:val="Sem lista1"/>
    <w:next w:val="Semlista"/>
    <w:uiPriority w:val="99"/>
    <w:semiHidden/>
    <w:unhideWhenUsed/>
    <w:rsid w:val="00C06696"/>
  </w:style>
  <w:style w:type="paragraph" w:customStyle="1" w:styleId="TextBase">
    <w:name w:val="Text Base"/>
    <w:basedOn w:val="Normal"/>
    <w:link w:val="TextBaseChar"/>
    <w:qFormat/>
    <w:rsid w:val="00C06696"/>
    <w:pPr>
      <w:spacing w:after="240" w:line="240" w:lineRule="auto"/>
      <w:jc w:val="both"/>
    </w:pPr>
    <w:rPr>
      <w:rFonts w:ascii="Times New Roman" w:eastAsia="MS Mincho" w:hAnsi="Times New Roman" w:cs="Times New Roman"/>
      <w:sz w:val="24"/>
      <w:lang w:val="x-none" w:eastAsia="en-US"/>
    </w:rPr>
  </w:style>
  <w:style w:type="character" w:customStyle="1" w:styleId="TextBaseChar">
    <w:name w:val="Text Base Char"/>
    <w:link w:val="TextBase"/>
    <w:rsid w:val="00C06696"/>
    <w:rPr>
      <w:rFonts w:ascii="Times New Roman" w:eastAsia="MS Mincho" w:hAnsi="Times New Roman" w:cs="Times New Roman"/>
      <w:sz w:val="24"/>
      <w:lang w:val="x-none" w:eastAsia="en-US"/>
    </w:rPr>
  </w:style>
  <w:style w:type="character" w:customStyle="1" w:styleId="apple-converted-space">
    <w:name w:val="apple-converted-space"/>
    <w:rsid w:val="00C06696"/>
  </w:style>
  <w:style w:type="character" w:styleId="Forte">
    <w:name w:val="Strong"/>
    <w:uiPriority w:val="22"/>
    <w:qFormat/>
    <w:rsid w:val="00C06696"/>
    <w:rPr>
      <w:b/>
      <w:bCs/>
    </w:rPr>
  </w:style>
  <w:style w:type="character" w:styleId="Hyperlink">
    <w:name w:val="Hyperlink"/>
    <w:uiPriority w:val="99"/>
    <w:unhideWhenUsed/>
    <w:rsid w:val="00C06696"/>
  </w:style>
  <w:style w:type="paragraph" w:styleId="Sumrio1">
    <w:name w:val="toc 1"/>
    <w:basedOn w:val="Normal"/>
    <w:next w:val="Normal"/>
    <w:autoRedefine/>
    <w:uiPriority w:val="39"/>
    <w:unhideWhenUsed/>
    <w:rsid w:val="00C06696"/>
    <w:pPr>
      <w:tabs>
        <w:tab w:val="right" w:leader="dot" w:pos="9486"/>
      </w:tabs>
      <w:spacing w:after="120" w:line="240" w:lineRule="auto"/>
      <w:ind w:left="397" w:hanging="397"/>
    </w:pPr>
    <w:rPr>
      <w:rFonts w:ascii="Times New Roman" w:eastAsia="MS Mincho" w:hAnsi="Times New Roman" w:cs="Times New Roman"/>
      <w:b/>
      <w:noProof/>
      <w:sz w:val="24"/>
      <w:szCs w:val="24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C06696"/>
    <w:pPr>
      <w:tabs>
        <w:tab w:val="right" w:leader="dot" w:pos="9486"/>
      </w:tabs>
      <w:spacing w:after="0" w:line="240" w:lineRule="auto"/>
      <w:ind w:left="681" w:hanging="397"/>
    </w:pPr>
    <w:rPr>
      <w:rFonts w:ascii="Calibri" w:eastAsia="MS Mincho" w:hAnsi="Calibri" w:cs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C066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HM">
    <w:name w:val="Titulo 1HM"/>
    <w:basedOn w:val="Ttulo1"/>
    <w:next w:val="Normal"/>
    <w:link w:val="Titulo1HMChar"/>
    <w:qFormat/>
    <w:rsid w:val="00C06696"/>
    <w:pPr>
      <w:numPr>
        <w:numId w:val="0"/>
      </w:numPr>
      <w:spacing w:before="0" w:after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ulo1HMChar">
    <w:name w:val="Titulo 1HM Char"/>
    <w:basedOn w:val="Ttulo1Char"/>
    <w:link w:val="Titulo1HM"/>
    <w:rsid w:val="00C06696"/>
    <w:rPr>
      <w:rFonts w:ascii="Times New Roman" w:eastAsia="Times New Roman" w:hAnsi="Times New Roman" w:cs="Times New Roman"/>
      <w:b/>
      <w:bCs/>
      <w:kern w:val="32"/>
      <w:sz w:val="24"/>
      <w:szCs w:val="24"/>
      <w:lang w:val="en-US" w:eastAsia="en-US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C06696"/>
    <w:pPr>
      <w:keepNext/>
      <w:spacing w:after="0" w:line="36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paragraph" w:customStyle="1" w:styleId="Tabelas">
    <w:name w:val="Tabelas"/>
    <w:aliases w:val="Mapas e outros"/>
    <w:basedOn w:val="Normal"/>
    <w:autoRedefine/>
    <w:qFormat/>
    <w:rsid w:val="00C06696"/>
    <w:pPr>
      <w:spacing w:before="6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paragraph" w:customStyle="1" w:styleId="textbase0">
    <w:name w:val="textbase"/>
    <w:basedOn w:val="Normal"/>
    <w:rsid w:val="00C0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06696"/>
    <w:pPr>
      <w:widowControl/>
      <w:spacing w:line="240" w:lineRule="atLeast"/>
    </w:pPr>
    <w:rPr>
      <w:rFonts w:ascii="Myriad Pro" w:eastAsia="Calibri" w:hAnsi="Myriad Pro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fesacivil@sp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01D6-9677-465C-AECF-972C7098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1684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martae</dc:creator>
  <cp:lastModifiedBy>Ana Sedlacek</cp:lastModifiedBy>
  <cp:revision>5</cp:revision>
  <cp:lastPrinted>2016-02-01T15:59:00Z</cp:lastPrinted>
  <dcterms:created xsi:type="dcterms:W3CDTF">2018-08-16T14:15:00Z</dcterms:created>
  <dcterms:modified xsi:type="dcterms:W3CDTF">2018-08-20T20:54:00Z</dcterms:modified>
</cp:coreProperties>
</file>