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8C30F" w14:textId="12F8AE55" w:rsidR="005355FD" w:rsidRPr="00F81EC4" w:rsidRDefault="00E017CE" w:rsidP="005355FD">
      <w:pPr>
        <w:jc w:val="center"/>
        <w:rPr>
          <w:rFonts w:ascii="Arial" w:hAnsi="Arial" w:cs="Arial"/>
          <w:b/>
          <w:snapToGrid w:val="0"/>
        </w:rPr>
      </w:pPr>
      <w:r>
        <w:rPr>
          <w:rFonts w:ascii="Arial" w:hAnsi="Arial" w:cs="Arial"/>
          <w:b/>
          <w:snapToGrid w:val="0"/>
        </w:rPr>
        <w:t xml:space="preserve">MINUTA </w:t>
      </w:r>
      <w:r w:rsidR="005355FD" w:rsidRPr="00F81EC4">
        <w:rPr>
          <w:rFonts w:ascii="Arial" w:hAnsi="Arial" w:cs="Arial"/>
          <w:b/>
          <w:snapToGrid w:val="0"/>
        </w:rPr>
        <w:t>Deliberação CBH-AT</w:t>
      </w:r>
      <w:r w:rsidR="005355FD">
        <w:rPr>
          <w:rFonts w:ascii="Arial" w:hAnsi="Arial" w:cs="Arial"/>
          <w:b/>
          <w:snapToGrid w:val="0"/>
        </w:rPr>
        <w:t xml:space="preserve"> </w:t>
      </w:r>
      <w:r w:rsidR="005355FD" w:rsidRPr="00F81EC4">
        <w:rPr>
          <w:rFonts w:ascii="Arial" w:hAnsi="Arial" w:cs="Arial"/>
          <w:b/>
          <w:snapToGrid w:val="0"/>
        </w:rPr>
        <w:t>n°</w:t>
      </w:r>
      <w:r w:rsidR="00B67E11">
        <w:rPr>
          <w:rFonts w:ascii="Arial" w:hAnsi="Arial" w:cs="Arial"/>
          <w:b/>
          <w:snapToGrid w:val="0"/>
        </w:rPr>
        <w:t xml:space="preserve"> </w:t>
      </w:r>
      <w:r>
        <w:rPr>
          <w:rFonts w:ascii="Arial" w:hAnsi="Arial" w:cs="Arial"/>
          <w:b/>
          <w:snapToGrid w:val="0"/>
        </w:rPr>
        <w:t>XX</w:t>
      </w:r>
      <w:r w:rsidR="005355FD">
        <w:rPr>
          <w:rFonts w:ascii="Arial" w:hAnsi="Arial" w:cs="Arial"/>
          <w:b/>
          <w:snapToGrid w:val="0"/>
        </w:rPr>
        <w:t xml:space="preserve"> de </w:t>
      </w:r>
      <w:r w:rsidR="00AB7A6B">
        <w:rPr>
          <w:rFonts w:ascii="Arial" w:hAnsi="Arial" w:cs="Arial"/>
          <w:b/>
          <w:snapToGrid w:val="0"/>
        </w:rPr>
        <w:t>XX</w:t>
      </w:r>
      <w:r w:rsidR="00786C37">
        <w:rPr>
          <w:rFonts w:ascii="Arial" w:hAnsi="Arial" w:cs="Arial"/>
          <w:b/>
          <w:snapToGrid w:val="0"/>
        </w:rPr>
        <w:t xml:space="preserve"> de </w:t>
      </w:r>
      <w:r>
        <w:rPr>
          <w:rFonts w:ascii="Arial" w:hAnsi="Arial" w:cs="Arial"/>
          <w:b/>
          <w:snapToGrid w:val="0"/>
        </w:rPr>
        <w:t>setembro</w:t>
      </w:r>
      <w:r w:rsidR="00786C37">
        <w:rPr>
          <w:rFonts w:ascii="Arial" w:hAnsi="Arial" w:cs="Arial"/>
          <w:b/>
          <w:snapToGrid w:val="0"/>
        </w:rPr>
        <w:t xml:space="preserve"> de 2018</w:t>
      </w:r>
    </w:p>
    <w:p w14:paraId="5570027F" w14:textId="77777777" w:rsidR="005355FD" w:rsidRPr="006D79EF" w:rsidRDefault="005355FD" w:rsidP="005355FD">
      <w:pPr>
        <w:pStyle w:val="Corpodetexto2"/>
        <w:spacing w:after="0" w:line="240" w:lineRule="auto"/>
        <w:ind w:left="3969"/>
        <w:jc w:val="both"/>
        <w:rPr>
          <w:rFonts w:ascii="Arial" w:hAnsi="Arial" w:cs="Arial"/>
          <w:b/>
        </w:rPr>
      </w:pPr>
    </w:p>
    <w:p w14:paraId="451C9947" w14:textId="4E8A2D07" w:rsidR="005355FD" w:rsidRPr="006D79EF" w:rsidRDefault="005355FD" w:rsidP="005355FD">
      <w:pPr>
        <w:pStyle w:val="Corpodetexto2"/>
        <w:spacing w:after="0" w:line="240" w:lineRule="auto"/>
        <w:ind w:left="4253"/>
        <w:jc w:val="both"/>
        <w:rPr>
          <w:rFonts w:ascii="Arial" w:hAnsi="Arial" w:cs="Arial"/>
          <w:b/>
        </w:rPr>
      </w:pPr>
      <w:r w:rsidRPr="00BF58DC">
        <w:rPr>
          <w:rFonts w:ascii="Arial" w:hAnsi="Arial" w:cs="Arial"/>
        </w:rPr>
        <w:t xml:space="preserve">Aprova </w:t>
      </w:r>
      <w:r w:rsidR="00E017CE">
        <w:rPr>
          <w:rFonts w:ascii="Arial" w:hAnsi="Arial" w:cs="Arial"/>
        </w:rPr>
        <w:t>Nota Técnica sobre o cumprimento das condicionantes dos artigos 6° e 12° da Resolução Conjunta ANA/DAEE n° 926/2017.</w:t>
      </w:r>
    </w:p>
    <w:p w14:paraId="75311C25" w14:textId="77777777" w:rsidR="00505A41" w:rsidRDefault="00505A41" w:rsidP="005355FD">
      <w:pPr>
        <w:rPr>
          <w:rFonts w:ascii="Arial" w:hAnsi="Arial" w:cs="Arial"/>
          <w:bCs/>
          <w:iCs/>
          <w:snapToGrid w:val="0"/>
        </w:rPr>
      </w:pPr>
    </w:p>
    <w:p w14:paraId="7811B219" w14:textId="77777777" w:rsidR="005355FD" w:rsidRPr="006D0BA6" w:rsidRDefault="005355FD" w:rsidP="00C71115">
      <w:pPr>
        <w:rPr>
          <w:rFonts w:ascii="Arial" w:hAnsi="Arial" w:cs="Arial"/>
          <w:bCs/>
          <w:iCs/>
          <w:snapToGrid w:val="0"/>
        </w:rPr>
      </w:pPr>
      <w:r w:rsidRPr="006D0BA6">
        <w:rPr>
          <w:rFonts w:ascii="Arial" w:hAnsi="Arial" w:cs="Arial"/>
          <w:bCs/>
          <w:iCs/>
          <w:snapToGrid w:val="0"/>
        </w:rPr>
        <w:t>O Comitê da Bacia Hidrográfica do Alto Tietê, no uso de s</w:t>
      </w:r>
      <w:r w:rsidR="00505A41">
        <w:rPr>
          <w:rFonts w:ascii="Arial" w:hAnsi="Arial" w:cs="Arial"/>
          <w:bCs/>
          <w:iCs/>
          <w:snapToGrid w:val="0"/>
        </w:rPr>
        <w:t>uas atribuições, e considerando q</w:t>
      </w:r>
      <w:r w:rsidRPr="006D0BA6">
        <w:rPr>
          <w:rFonts w:ascii="Arial" w:hAnsi="Arial" w:cs="Arial"/>
          <w:bCs/>
          <w:iCs/>
          <w:snapToGrid w:val="0"/>
        </w:rPr>
        <w:t>ue:</w:t>
      </w:r>
    </w:p>
    <w:p w14:paraId="59EA5042" w14:textId="742949E3" w:rsidR="005355FD" w:rsidRPr="006D0BA6" w:rsidRDefault="00FE4012" w:rsidP="00C71115">
      <w:pPr>
        <w:numPr>
          <w:ilvl w:val="0"/>
          <w:numId w:val="14"/>
        </w:numPr>
        <w:spacing w:after="120"/>
        <w:jc w:val="both"/>
        <w:rPr>
          <w:rFonts w:ascii="Arial" w:hAnsi="Arial" w:cs="Arial"/>
        </w:rPr>
      </w:pPr>
      <w:r>
        <w:rPr>
          <w:rFonts w:ascii="Arial" w:hAnsi="Arial" w:cs="Arial"/>
        </w:rPr>
        <w:t>A Resolução Conjunta ANA/DAEE n° 926 de 29 de maio de 2017, que dispõe sobre a outorga à Companhia de Saneamento Básico do Estado de São Paulo – SABESP, o uso das vazões máximas médias mensais do Sistema Cantareira</w:t>
      </w:r>
      <w:r w:rsidR="005355FD">
        <w:rPr>
          <w:rFonts w:ascii="Arial" w:hAnsi="Arial" w:cs="Arial"/>
        </w:rPr>
        <w:t>;</w:t>
      </w:r>
    </w:p>
    <w:p w14:paraId="6E125E98" w14:textId="77777777" w:rsidR="00FE4012" w:rsidRDefault="00FE4012" w:rsidP="00C71115">
      <w:pPr>
        <w:numPr>
          <w:ilvl w:val="0"/>
          <w:numId w:val="14"/>
        </w:numPr>
        <w:spacing w:after="120"/>
        <w:jc w:val="both"/>
        <w:rPr>
          <w:rFonts w:ascii="Arial" w:hAnsi="Arial" w:cs="Arial"/>
        </w:rPr>
      </w:pPr>
      <w:r>
        <w:rPr>
          <w:rFonts w:ascii="Arial" w:hAnsi="Arial" w:cs="Arial"/>
        </w:rPr>
        <w:t xml:space="preserve">Os artigos 6° e 12° da referida Resolução, que determina à SABESP encaminhar planos </w:t>
      </w:r>
      <w:r w:rsidR="005355FD" w:rsidRPr="006D0BA6">
        <w:rPr>
          <w:rFonts w:ascii="Arial" w:hAnsi="Arial" w:cs="Arial"/>
        </w:rPr>
        <w:t xml:space="preserve"> </w:t>
      </w:r>
      <w:r>
        <w:rPr>
          <w:rFonts w:ascii="Arial" w:hAnsi="Arial" w:cs="Arial"/>
        </w:rPr>
        <w:t xml:space="preserve"> aos órgãos gestores, no prazo de 6 meses, após ouvidos os Comitês PCJ e do CBH-AT;</w:t>
      </w:r>
    </w:p>
    <w:p w14:paraId="0D15D277" w14:textId="0B030365" w:rsidR="005355FD" w:rsidRPr="006D0BA6" w:rsidRDefault="00FE4012" w:rsidP="00C71115">
      <w:pPr>
        <w:numPr>
          <w:ilvl w:val="0"/>
          <w:numId w:val="14"/>
        </w:numPr>
        <w:spacing w:after="120"/>
        <w:jc w:val="both"/>
        <w:rPr>
          <w:rFonts w:ascii="Arial" w:hAnsi="Arial" w:cs="Arial"/>
        </w:rPr>
      </w:pPr>
      <w:r>
        <w:rPr>
          <w:rFonts w:ascii="Arial" w:hAnsi="Arial" w:cs="Arial"/>
        </w:rPr>
        <w:t>O Ofício</w:t>
      </w:r>
      <w:r w:rsidR="007815D5">
        <w:rPr>
          <w:rFonts w:ascii="Arial" w:hAnsi="Arial" w:cs="Arial"/>
        </w:rPr>
        <w:t xml:space="preserve"> conjunto ANA/DAEE n° 4/2017, que encaminha o Relatório Técnico em atendimento ao artigo 6° da Resolução conjunta ANA/DAEE n° 926/2017 sobre os planos: ampliação de modernização da rede de postos de monitoramento de chuva e vazão nas Bacias de contribuição do sistema Cantareira e plano de adaptação das infraestruturas dos reservatórios para a eventual operação com níveis abaixo do mínimo operacional</w:t>
      </w:r>
      <w:r w:rsidR="005355FD" w:rsidRPr="006D0BA6">
        <w:rPr>
          <w:rFonts w:ascii="Arial" w:hAnsi="Arial" w:cs="Arial"/>
        </w:rPr>
        <w:t>;</w:t>
      </w:r>
    </w:p>
    <w:p w14:paraId="1937D495" w14:textId="75978F44" w:rsidR="005355FD" w:rsidRPr="003C4879" w:rsidRDefault="00C06696" w:rsidP="00C71115">
      <w:pPr>
        <w:numPr>
          <w:ilvl w:val="0"/>
          <w:numId w:val="14"/>
        </w:numPr>
        <w:spacing w:after="120"/>
        <w:jc w:val="both"/>
        <w:rPr>
          <w:rFonts w:ascii="Arial" w:hAnsi="Arial" w:cs="Arial"/>
          <w:b/>
          <w:bCs/>
          <w:i/>
          <w:iCs/>
          <w:snapToGrid w:val="0"/>
        </w:rPr>
      </w:pPr>
      <w:r>
        <w:rPr>
          <w:rFonts w:ascii="Arial" w:hAnsi="Arial" w:cs="Arial"/>
        </w:rPr>
        <w:t>A apresentação técnica feita por representante da SABESP em reunião do grupo de Trabalho Outorga do Sistema Cantareira (GT-OC) realizada em 28/02/2018</w:t>
      </w:r>
      <w:r w:rsidR="005355FD">
        <w:rPr>
          <w:rFonts w:ascii="Arial" w:hAnsi="Arial" w:cs="Arial"/>
        </w:rPr>
        <w:t>;</w:t>
      </w:r>
    </w:p>
    <w:p w14:paraId="0DE31832" w14:textId="7721B6C3" w:rsidR="003C4879" w:rsidRPr="003C4879" w:rsidRDefault="00C06696" w:rsidP="00C71115">
      <w:pPr>
        <w:numPr>
          <w:ilvl w:val="0"/>
          <w:numId w:val="14"/>
        </w:numPr>
        <w:spacing w:after="120"/>
        <w:jc w:val="both"/>
        <w:rPr>
          <w:rFonts w:ascii="Arial" w:hAnsi="Arial" w:cs="Arial"/>
          <w:b/>
          <w:bCs/>
          <w:i/>
          <w:iCs/>
          <w:snapToGrid w:val="0"/>
        </w:rPr>
      </w:pPr>
      <w:r w:rsidRPr="00872A81">
        <w:rPr>
          <w:rFonts w:ascii="Arial" w:hAnsi="Arial" w:cs="Arial"/>
        </w:rPr>
        <w:t>O Parecer Técnico</w:t>
      </w:r>
      <w:r w:rsidRPr="006D0BA6">
        <w:rPr>
          <w:rFonts w:ascii="Arial" w:hAnsi="Arial" w:cs="Arial"/>
        </w:rPr>
        <w:t xml:space="preserve"> </w:t>
      </w:r>
      <w:r>
        <w:rPr>
          <w:rFonts w:ascii="Arial" w:hAnsi="Arial" w:cs="Arial"/>
        </w:rPr>
        <w:t>sobre a demanda elaborado em reunião conjunta das Câmaras Técnicas: Planejamento e Articulação (CT-PA) e Monitoramento Hidrológico (CT-MH) com o GT-OC, realizada em 04/07/2018;</w:t>
      </w:r>
    </w:p>
    <w:p w14:paraId="7B832FB0" w14:textId="77777777" w:rsidR="005355FD" w:rsidRPr="00BF58DC" w:rsidRDefault="005355FD" w:rsidP="00C71115">
      <w:pPr>
        <w:jc w:val="both"/>
        <w:rPr>
          <w:rFonts w:ascii="Arial" w:hAnsi="Arial" w:cs="Arial"/>
          <w:b/>
          <w:bCs/>
          <w:iCs/>
          <w:snapToGrid w:val="0"/>
        </w:rPr>
      </w:pPr>
    </w:p>
    <w:p w14:paraId="72C97B3B" w14:textId="77777777" w:rsidR="005355FD" w:rsidRPr="00BF58DC" w:rsidRDefault="005355FD" w:rsidP="00C71115">
      <w:pPr>
        <w:jc w:val="both"/>
        <w:rPr>
          <w:rFonts w:ascii="Arial" w:hAnsi="Arial" w:cs="Arial"/>
          <w:b/>
          <w:bCs/>
          <w:iCs/>
          <w:snapToGrid w:val="0"/>
        </w:rPr>
      </w:pPr>
      <w:r w:rsidRPr="00BF58DC">
        <w:rPr>
          <w:rFonts w:ascii="Arial" w:hAnsi="Arial" w:cs="Arial"/>
          <w:b/>
          <w:bCs/>
          <w:iCs/>
          <w:snapToGrid w:val="0"/>
        </w:rPr>
        <w:t>Delibera:</w:t>
      </w:r>
    </w:p>
    <w:p w14:paraId="36896FDC" w14:textId="1CDB6A7C" w:rsidR="005355FD" w:rsidRPr="00BF58DC" w:rsidRDefault="005355FD" w:rsidP="00C71115">
      <w:pPr>
        <w:spacing w:after="120"/>
        <w:jc w:val="both"/>
        <w:rPr>
          <w:rFonts w:ascii="Arial" w:hAnsi="Arial" w:cs="Arial"/>
          <w:snapToGrid w:val="0"/>
        </w:rPr>
      </w:pPr>
      <w:r w:rsidRPr="00BF58DC">
        <w:rPr>
          <w:rFonts w:ascii="Arial" w:hAnsi="Arial" w:cs="Arial"/>
          <w:b/>
          <w:snapToGrid w:val="0"/>
        </w:rPr>
        <w:t xml:space="preserve">Artigo 1° - </w:t>
      </w:r>
      <w:r w:rsidRPr="00BF58DC">
        <w:rPr>
          <w:rFonts w:ascii="Arial" w:hAnsi="Arial" w:cs="Arial"/>
          <w:snapToGrid w:val="0"/>
        </w:rPr>
        <w:t>Fica aprovado o documento anexo “</w:t>
      </w:r>
      <w:r w:rsidR="00C06696">
        <w:rPr>
          <w:rFonts w:ascii="Arial" w:hAnsi="Arial" w:cs="Arial"/>
          <w:snapToGrid w:val="0"/>
        </w:rPr>
        <w:t xml:space="preserve">Nota Técnica sobre o atendimento </w:t>
      </w:r>
      <w:r w:rsidR="00AB7A6B">
        <w:rPr>
          <w:rFonts w:ascii="Arial" w:hAnsi="Arial" w:cs="Arial"/>
          <w:snapToGrid w:val="0"/>
        </w:rPr>
        <w:t>aos</w:t>
      </w:r>
      <w:r w:rsidR="00C06696">
        <w:rPr>
          <w:rFonts w:ascii="Arial" w:hAnsi="Arial" w:cs="Arial"/>
          <w:snapToGrid w:val="0"/>
        </w:rPr>
        <w:t xml:space="preserve"> a</w:t>
      </w:r>
      <w:r w:rsidR="00AB7A6B">
        <w:rPr>
          <w:rFonts w:ascii="Arial" w:hAnsi="Arial" w:cs="Arial"/>
          <w:snapToGrid w:val="0"/>
        </w:rPr>
        <w:t>r</w:t>
      </w:r>
      <w:r w:rsidR="00C06696">
        <w:rPr>
          <w:rFonts w:ascii="Arial" w:hAnsi="Arial" w:cs="Arial"/>
          <w:snapToGrid w:val="0"/>
        </w:rPr>
        <w:t>tigos 6° e 12° da Resolução Conjunta ANA/DAEE n° 926/2017</w:t>
      </w:r>
    </w:p>
    <w:p w14:paraId="51951447" w14:textId="13544798" w:rsidR="005355FD" w:rsidRPr="000D6007" w:rsidRDefault="005355FD" w:rsidP="00C71115">
      <w:pPr>
        <w:spacing w:after="120"/>
        <w:jc w:val="both"/>
        <w:rPr>
          <w:rFonts w:ascii="Arial" w:hAnsi="Arial" w:cs="Arial"/>
          <w:snapToGrid w:val="0"/>
        </w:rPr>
      </w:pPr>
      <w:r w:rsidRPr="00BF58DC">
        <w:rPr>
          <w:rFonts w:ascii="Arial" w:hAnsi="Arial" w:cs="Arial"/>
          <w:b/>
          <w:snapToGrid w:val="0"/>
        </w:rPr>
        <w:t>Parágrafo único</w:t>
      </w:r>
      <w:r w:rsidR="00505A41" w:rsidRPr="00BF58DC">
        <w:rPr>
          <w:rFonts w:ascii="Arial" w:hAnsi="Arial" w:cs="Arial"/>
          <w:b/>
          <w:snapToGrid w:val="0"/>
        </w:rPr>
        <w:t>.</w:t>
      </w:r>
      <w:r w:rsidRPr="00BF58DC">
        <w:rPr>
          <w:rFonts w:ascii="Arial" w:hAnsi="Arial" w:cs="Arial"/>
          <w:b/>
          <w:snapToGrid w:val="0"/>
        </w:rPr>
        <w:t xml:space="preserve"> </w:t>
      </w:r>
      <w:r w:rsidR="00150B5D" w:rsidRPr="00BF58DC">
        <w:rPr>
          <w:rFonts w:ascii="Arial" w:hAnsi="Arial" w:cs="Arial"/>
          <w:snapToGrid w:val="0"/>
        </w:rPr>
        <w:t>A Secretaria Executiv</w:t>
      </w:r>
      <w:r w:rsidR="00C71115">
        <w:rPr>
          <w:rFonts w:ascii="Arial" w:hAnsi="Arial" w:cs="Arial"/>
          <w:snapToGrid w:val="0"/>
        </w:rPr>
        <w:t>a encaminhará esta deliberação a</w:t>
      </w:r>
      <w:r w:rsidR="00150B5D" w:rsidRPr="00BF58DC">
        <w:rPr>
          <w:rFonts w:ascii="Arial" w:hAnsi="Arial" w:cs="Arial"/>
          <w:snapToGrid w:val="0"/>
        </w:rPr>
        <w:t xml:space="preserve"> </w:t>
      </w:r>
      <w:r w:rsidR="00C71115">
        <w:rPr>
          <w:rFonts w:ascii="Arial" w:hAnsi="Arial" w:cs="Arial"/>
          <w:snapToGrid w:val="0"/>
        </w:rPr>
        <w:t>ANA/DAEE</w:t>
      </w:r>
    </w:p>
    <w:p w14:paraId="4C0FE69C" w14:textId="546E80B5" w:rsidR="0045680A" w:rsidRDefault="005355FD" w:rsidP="00C71115">
      <w:pPr>
        <w:spacing w:after="120"/>
        <w:jc w:val="both"/>
        <w:rPr>
          <w:rFonts w:ascii="Arial" w:hAnsi="Arial" w:cs="Arial"/>
        </w:rPr>
      </w:pPr>
      <w:r w:rsidRPr="000D6007">
        <w:rPr>
          <w:rFonts w:ascii="Arial" w:hAnsi="Arial" w:cs="Arial"/>
          <w:b/>
          <w:snapToGrid w:val="0"/>
        </w:rPr>
        <w:t>Artigo 3º -</w:t>
      </w:r>
      <w:r w:rsidRPr="000D6007">
        <w:rPr>
          <w:rFonts w:ascii="Arial" w:hAnsi="Arial" w:cs="Arial"/>
          <w:snapToGrid w:val="0"/>
        </w:rPr>
        <w:t xml:space="preserve"> Esta deliberação entrará em vigor na data de sua publicação no Diário Oficial do Estado.</w:t>
      </w:r>
      <w:r w:rsidR="0045680A" w:rsidRPr="003A7958">
        <w:rPr>
          <w:rFonts w:ascii="Arial" w:hAnsi="Arial" w:cs="Arial"/>
        </w:rPr>
        <w:t xml:space="preserve">                                    </w:t>
      </w:r>
      <w:r w:rsidR="0045680A">
        <w:rPr>
          <w:rFonts w:ascii="Arial" w:hAnsi="Arial" w:cs="Arial"/>
        </w:rPr>
        <w:t xml:space="preserve">                               </w:t>
      </w:r>
    </w:p>
    <w:p w14:paraId="39DBB747" w14:textId="77777777" w:rsidR="0045680A" w:rsidRDefault="0045680A" w:rsidP="0045680A">
      <w:pPr>
        <w:spacing w:afterLines="120" w:after="288" w:line="240" w:lineRule="auto"/>
        <w:jc w:val="both"/>
        <w:rPr>
          <w:rFonts w:ascii="Arial" w:hAnsi="Arial" w:cs="Arial"/>
          <w:b/>
          <w:snapToGrid w:val="0"/>
        </w:rPr>
      </w:pPr>
    </w:p>
    <w:p w14:paraId="0A0A728B" w14:textId="77777777" w:rsidR="00FE4012" w:rsidRDefault="00FE4012" w:rsidP="0045680A">
      <w:pPr>
        <w:spacing w:afterLines="120" w:after="288" w:line="240" w:lineRule="auto"/>
        <w:jc w:val="both"/>
        <w:rPr>
          <w:rFonts w:ascii="Arial" w:hAnsi="Arial" w:cs="Arial"/>
          <w:b/>
          <w:snapToGrid w:val="0"/>
        </w:rPr>
      </w:pPr>
    </w:p>
    <w:p w14:paraId="234B513C" w14:textId="77777777" w:rsidR="00C71115" w:rsidRDefault="00C71115" w:rsidP="0045680A">
      <w:pPr>
        <w:spacing w:afterLines="120" w:after="288" w:line="240" w:lineRule="auto"/>
        <w:jc w:val="both"/>
        <w:rPr>
          <w:rFonts w:ascii="Arial" w:hAnsi="Arial" w:cs="Arial"/>
          <w:b/>
          <w:snapToGrid w:val="0"/>
        </w:rPr>
      </w:pPr>
    </w:p>
    <w:p w14:paraId="1B783B6C" w14:textId="77777777" w:rsidR="00C71115" w:rsidRDefault="00C71115" w:rsidP="0045680A">
      <w:pPr>
        <w:spacing w:afterLines="120" w:after="288" w:line="240" w:lineRule="auto"/>
        <w:jc w:val="both"/>
        <w:rPr>
          <w:rFonts w:ascii="Arial" w:hAnsi="Arial" w:cs="Arial"/>
          <w:b/>
          <w:snapToGrid w:val="0"/>
        </w:rPr>
      </w:pPr>
    </w:p>
    <w:p w14:paraId="4DD8FFE8" w14:textId="77777777" w:rsidR="00FE4012" w:rsidRDefault="00FE4012" w:rsidP="0045680A">
      <w:pPr>
        <w:spacing w:afterLines="120" w:after="288" w:line="240" w:lineRule="auto"/>
        <w:jc w:val="both"/>
        <w:rPr>
          <w:rFonts w:ascii="Arial" w:hAnsi="Arial" w:cs="Arial"/>
          <w:b/>
          <w:snapToGrid w:val="0"/>
        </w:rPr>
      </w:pPr>
    </w:p>
    <w:p w14:paraId="1383DFD0" w14:textId="77777777" w:rsidR="00C06696" w:rsidRDefault="00C06696" w:rsidP="00150B5D">
      <w:pPr>
        <w:jc w:val="center"/>
        <w:rPr>
          <w:b/>
          <w:sz w:val="28"/>
          <w:szCs w:val="28"/>
          <w:lang w:eastAsia="en-US"/>
        </w:rPr>
      </w:pPr>
    </w:p>
    <w:p w14:paraId="3316B21E" w14:textId="7BED4A8E" w:rsidR="00150B5D" w:rsidRPr="00C71115" w:rsidRDefault="00150B5D" w:rsidP="00C71115">
      <w:pPr>
        <w:spacing w:line="240" w:lineRule="auto"/>
        <w:jc w:val="center"/>
        <w:rPr>
          <w:b/>
          <w:sz w:val="28"/>
          <w:szCs w:val="28"/>
          <w:lang w:eastAsia="en-US"/>
        </w:rPr>
      </w:pPr>
      <w:r w:rsidRPr="00C71115">
        <w:rPr>
          <w:b/>
          <w:sz w:val="28"/>
          <w:szCs w:val="28"/>
          <w:lang w:eastAsia="en-US"/>
        </w:rPr>
        <w:lastRenderedPageBreak/>
        <w:t xml:space="preserve">Anexo à Deliberação CBH-AT nº </w:t>
      </w:r>
      <w:r w:rsidR="00C06696" w:rsidRPr="00C71115">
        <w:rPr>
          <w:b/>
          <w:sz w:val="28"/>
          <w:szCs w:val="28"/>
          <w:lang w:eastAsia="en-US"/>
        </w:rPr>
        <w:t>XX</w:t>
      </w:r>
      <w:r w:rsidRPr="00C71115">
        <w:rPr>
          <w:b/>
          <w:sz w:val="28"/>
          <w:szCs w:val="28"/>
          <w:lang w:eastAsia="en-US"/>
        </w:rPr>
        <w:t xml:space="preserve">, de </w:t>
      </w:r>
      <w:r w:rsidR="00147931">
        <w:rPr>
          <w:b/>
          <w:sz w:val="28"/>
          <w:szCs w:val="28"/>
          <w:lang w:eastAsia="en-US"/>
        </w:rPr>
        <w:t>XX</w:t>
      </w:r>
      <w:r w:rsidRPr="00C71115">
        <w:rPr>
          <w:b/>
          <w:sz w:val="28"/>
          <w:szCs w:val="28"/>
          <w:lang w:eastAsia="en-US"/>
        </w:rPr>
        <w:t xml:space="preserve"> de </w:t>
      </w:r>
      <w:r w:rsidR="00C06696" w:rsidRPr="00C71115">
        <w:rPr>
          <w:b/>
          <w:sz w:val="28"/>
          <w:szCs w:val="28"/>
          <w:lang w:eastAsia="en-US"/>
        </w:rPr>
        <w:t>setembro</w:t>
      </w:r>
      <w:r w:rsidRPr="00C71115">
        <w:rPr>
          <w:b/>
          <w:sz w:val="28"/>
          <w:szCs w:val="28"/>
          <w:lang w:eastAsia="en-US"/>
        </w:rPr>
        <w:t xml:space="preserve"> de 2018</w:t>
      </w:r>
    </w:p>
    <w:p w14:paraId="3BD7DF7A" w14:textId="77777777" w:rsidR="00C06696" w:rsidRPr="00C71115" w:rsidRDefault="00C06696" w:rsidP="00C71115">
      <w:pPr>
        <w:spacing w:after="120" w:line="240" w:lineRule="auto"/>
        <w:jc w:val="center"/>
        <w:rPr>
          <w:rFonts w:eastAsia="MS Mincho" w:cs="Times New Roman"/>
          <w:b/>
          <w:sz w:val="28"/>
          <w:szCs w:val="28"/>
          <w:lang w:eastAsia="en-US"/>
        </w:rPr>
      </w:pPr>
    </w:p>
    <w:p w14:paraId="63A52562" w14:textId="77777777" w:rsidR="00C06696" w:rsidRPr="00C71115" w:rsidRDefault="00C06696" w:rsidP="00C71115">
      <w:pPr>
        <w:shd w:val="clear" w:color="auto" w:fill="D9D9D9"/>
        <w:spacing w:before="240" w:after="120" w:line="240" w:lineRule="auto"/>
        <w:jc w:val="center"/>
        <w:rPr>
          <w:rFonts w:eastAsia="MS Mincho" w:cs="Times New Roman"/>
          <w:b/>
          <w:sz w:val="28"/>
          <w:szCs w:val="28"/>
          <w:lang w:eastAsia="en-US"/>
        </w:rPr>
      </w:pPr>
      <w:r w:rsidRPr="00C71115">
        <w:rPr>
          <w:rFonts w:eastAsia="MS Mincho" w:cs="Times New Roman"/>
          <w:b/>
          <w:sz w:val="28"/>
          <w:szCs w:val="28"/>
          <w:lang w:eastAsia="en-US"/>
        </w:rPr>
        <w:t>Nota Técnica</w:t>
      </w:r>
    </w:p>
    <w:p w14:paraId="5198072D" w14:textId="77777777" w:rsidR="00C06696" w:rsidRPr="00C71115" w:rsidRDefault="00C06696" w:rsidP="00C71115">
      <w:pPr>
        <w:shd w:val="clear" w:color="auto" w:fill="D9D9D9"/>
        <w:spacing w:after="120" w:line="240" w:lineRule="auto"/>
        <w:jc w:val="center"/>
        <w:rPr>
          <w:rFonts w:eastAsia="MS Mincho" w:cs="Times New Roman"/>
          <w:b/>
          <w:sz w:val="28"/>
          <w:szCs w:val="28"/>
          <w:lang w:eastAsia="en-US"/>
        </w:rPr>
      </w:pPr>
      <w:r w:rsidRPr="00C71115">
        <w:rPr>
          <w:rFonts w:eastAsia="MS Mincho" w:cs="Times New Roman"/>
          <w:b/>
          <w:sz w:val="28"/>
          <w:szCs w:val="28"/>
          <w:lang w:eastAsia="en-US"/>
        </w:rPr>
        <w:t>10-julho-2018</w:t>
      </w:r>
    </w:p>
    <w:p w14:paraId="641EEE02" w14:textId="352EDB07" w:rsidR="00C06696" w:rsidRPr="00C71115" w:rsidRDefault="00C71115" w:rsidP="00C71115">
      <w:pPr>
        <w:shd w:val="clear" w:color="auto" w:fill="D9D9D9"/>
        <w:spacing w:after="120" w:line="240" w:lineRule="auto"/>
        <w:jc w:val="center"/>
        <w:rPr>
          <w:rFonts w:eastAsia="MS Mincho" w:cs="Times New Roman"/>
          <w:sz w:val="28"/>
          <w:szCs w:val="28"/>
          <w:lang w:eastAsia="en-US"/>
        </w:rPr>
      </w:pPr>
      <w:r w:rsidRPr="00C71115">
        <w:rPr>
          <w:rFonts w:eastAsia="MS Mincho" w:cs="Times New Roman"/>
          <w:sz w:val="28"/>
          <w:szCs w:val="28"/>
          <w:lang w:eastAsia="en-US"/>
        </w:rPr>
        <w:t>M</w:t>
      </w:r>
      <w:r w:rsidR="00C06696" w:rsidRPr="00C71115">
        <w:rPr>
          <w:rFonts w:eastAsia="MS Mincho" w:cs="Times New Roman"/>
          <w:sz w:val="28"/>
          <w:szCs w:val="28"/>
          <w:lang w:eastAsia="en-US"/>
        </w:rPr>
        <w:t>anifestação do CBH - Alto Tietê sobre o atendimento dos Artigos 6° e 12° da Resolução Conjunta ANA/DAEE n</w:t>
      </w:r>
      <w:r w:rsidR="00C06696" w:rsidRPr="00C71115">
        <w:rPr>
          <w:rFonts w:eastAsia="MS Mincho" w:cs="Times New Roman"/>
          <w:sz w:val="28"/>
          <w:szCs w:val="28"/>
          <w:vertAlign w:val="superscript"/>
          <w:lang w:eastAsia="en-US"/>
        </w:rPr>
        <w:t>o</w:t>
      </w:r>
      <w:r w:rsidR="00C06696" w:rsidRPr="00C71115">
        <w:rPr>
          <w:rFonts w:eastAsia="MS Mincho" w:cs="Times New Roman"/>
          <w:sz w:val="28"/>
          <w:szCs w:val="28"/>
          <w:lang w:eastAsia="en-US"/>
        </w:rPr>
        <w:t xml:space="preserve"> 926/2017</w:t>
      </w:r>
    </w:p>
    <w:p w14:paraId="119DAA48" w14:textId="77777777" w:rsidR="00C06696" w:rsidRPr="00C71115" w:rsidRDefault="00C06696" w:rsidP="00C71115">
      <w:pPr>
        <w:spacing w:after="120" w:line="240" w:lineRule="auto"/>
        <w:jc w:val="both"/>
        <w:rPr>
          <w:rFonts w:eastAsia="MS Mincho" w:cs="Times New Roman"/>
          <w:b/>
          <w:sz w:val="28"/>
          <w:szCs w:val="28"/>
          <w:lang w:eastAsia="en-US"/>
        </w:rPr>
      </w:pPr>
    </w:p>
    <w:p w14:paraId="689A40AE" w14:textId="77777777" w:rsidR="00C06696" w:rsidRPr="00C71115" w:rsidRDefault="00C06696" w:rsidP="00C71115">
      <w:pPr>
        <w:spacing w:after="120" w:line="240" w:lineRule="auto"/>
        <w:jc w:val="both"/>
        <w:rPr>
          <w:rFonts w:eastAsia="MS Mincho" w:cs="Times New Roman"/>
          <w:sz w:val="28"/>
          <w:szCs w:val="28"/>
          <w:lang w:eastAsia="en-US"/>
        </w:rPr>
      </w:pPr>
    </w:p>
    <w:p w14:paraId="00B039B8" w14:textId="77777777" w:rsidR="00C06696" w:rsidRPr="00C71115" w:rsidRDefault="00C06696" w:rsidP="00C71115">
      <w:pPr>
        <w:tabs>
          <w:tab w:val="right" w:leader="dot" w:pos="9486"/>
        </w:tabs>
        <w:spacing w:after="120" w:line="240" w:lineRule="auto"/>
        <w:ind w:left="397" w:hanging="397"/>
        <w:jc w:val="both"/>
        <w:rPr>
          <w:rFonts w:eastAsia="Times New Roman" w:cs="Times New Roman"/>
          <w:b/>
          <w:noProof/>
          <w:sz w:val="28"/>
          <w:szCs w:val="28"/>
        </w:rPr>
      </w:pPr>
      <w:r w:rsidRPr="00C71115">
        <w:rPr>
          <w:rFonts w:eastAsia="MS Mincho" w:cs="Times New Roman"/>
          <w:b/>
          <w:noProof/>
          <w:sz w:val="28"/>
          <w:szCs w:val="28"/>
          <w:lang w:eastAsia="en-US"/>
        </w:rPr>
        <w:fldChar w:fldCharType="begin"/>
      </w:r>
      <w:r w:rsidRPr="00C71115">
        <w:rPr>
          <w:rFonts w:eastAsia="MS Mincho" w:cs="Times New Roman"/>
          <w:b/>
          <w:noProof/>
          <w:sz w:val="28"/>
          <w:szCs w:val="28"/>
          <w:lang w:eastAsia="en-US"/>
        </w:rPr>
        <w:instrText xml:space="preserve"> TOC \o "2-3" \h \z \t "Título 1;1" </w:instrText>
      </w:r>
      <w:r w:rsidRPr="00C71115">
        <w:rPr>
          <w:rFonts w:eastAsia="MS Mincho" w:cs="Times New Roman"/>
          <w:b/>
          <w:noProof/>
          <w:sz w:val="28"/>
          <w:szCs w:val="28"/>
          <w:lang w:eastAsia="en-US"/>
        </w:rPr>
        <w:fldChar w:fldCharType="separate"/>
      </w:r>
      <w:hyperlink w:anchor="_Toc519069547" w:history="1">
        <w:r w:rsidRPr="00C71115">
          <w:rPr>
            <w:rFonts w:eastAsia="MS Mincho" w:cs="Times New Roman"/>
            <w:b/>
            <w:noProof/>
            <w:sz w:val="28"/>
            <w:szCs w:val="28"/>
            <w:lang w:eastAsia="en-US"/>
          </w:rPr>
          <w:t>1. Histórico</w:t>
        </w:r>
        <w:r w:rsidRPr="00C71115">
          <w:rPr>
            <w:rFonts w:eastAsia="MS Mincho" w:cs="Times New Roman"/>
            <w:b/>
            <w:noProof/>
            <w:webHidden/>
            <w:sz w:val="28"/>
            <w:szCs w:val="28"/>
            <w:lang w:eastAsia="en-US"/>
          </w:rPr>
          <w:tab/>
        </w:r>
        <w:r w:rsidRPr="00C71115">
          <w:rPr>
            <w:rFonts w:eastAsia="MS Mincho" w:cs="Times New Roman"/>
            <w:b/>
            <w:noProof/>
            <w:webHidden/>
            <w:sz w:val="28"/>
            <w:szCs w:val="28"/>
            <w:lang w:eastAsia="en-US"/>
          </w:rPr>
          <w:fldChar w:fldCharType="begin"/>
        </w:r>
        <w:r w:rsidRPr="00C71115">
          <w:rPr>
            <w:rFonts w:eastAsia="MS Mincho" w:cs="Times New Roman"/>
            <w:b/>
            <w:noProof/>
            <w:webHidden/>
            <w:sz w:val="28"/>
            <w:szCs w:val="28"/>
            <w:lang w:eastAsia="en-US"/>
          </w:rPr>
          <w:instrText xml:space="preserve"> PAGEREF _Toc519069547 \h </w:instrText>
        </w:r>
        <w:r w:rsidRPr="00C71115">
          <w:rPr>
            <w:rFonts w:eastAsia="MS Mincho" w:cs="Times New Roman"/>
            <w:b/>
            <w:noProof/>
            <w:webHidden/>
            <w:sz w:val="28"/>
            <w:szCs w:val="28"/>
            <w:lang w:eastAsia="en-US"/>
          </w:rPr>
        </w:r>
        <w:r w:rsidRPr="00C71115">
          <w:rPr>
            <w:rFonts w:eastAsia="MS Mincho" w:cs="Times New Roman"/>
            <w:b/>
            <w:noProof/>
            <w:webHidden/>
            <w:sz w:val="28"/>
            <w:szCs w:val="28"/>
            <w:lang w:eastAsia="en-US"/>
          </w:rPr>
          <w:fldChar w:fldCharType="separate"/>
        </w:r>
        <w:r w:rsidRPr="00C71115">
          <w:rPr>
            <w:rFonts w:eastAsia="MS Mincho" w:cs="Times New Roman"/>
            <w:b/>
            <w:noProof/>
            <w:webHidden/>
            <w:sz w:val="28"/>
            <w:szCs w:val="28"/>
            <w:lang w:eastAsia="en-US"/>
          </w:rPr>
          <w:t>2</w:t>
        </w:r>
        <w:r w:rsidRPr="00C71115">
          <w:rPr>
            <w:rFonts w:eastAsia="MS Mincho" w:cs="Times New Roman"/>
            <w:b/>
            <w:noProof/>
            <w:webHidden/>
            <w:sz w:val="28"/>
            <w:szCs w:val="28"/>
            <w:lang w:eastAsia="en-US"/>
          </w:rPr>
          <w:fldChar w:fldCharType="end"/>
        </w:r>
      </w:hyperlink>
    </w:p>
    <w:p w14:paraId="03A2E78B" w14:textId="77777777" w:rsidR="00C06696" w:rsidRPr="00C71115" w:rsidRDefault="00D95149" w:rsidP="00C71115">
      <w:pPr>
        <w:tabs>
          <w:tab w:val="right" w:leader="dot" w:pos="9486"/>
        </w:tabs>
        <w:spacing w:after="120" w:line="240" w:lineRule="auto"/>
        <w:ind w:left="397" w:hanging="397"/>
        <w:jc w:val="both"/>
        <w:rPr>
          <w:rFonts w:eastAsia="Times New Roman" w:cs="Times New Roman"/>
          <w:b/>
          <w:noProof/>
          <w:sz w:val="28"/>
          <w:szCs w:val="28"/>
        </w:rPr>
      </w:pPr>
      <w:hyperlink w:anchor="_Toc519069548" w:history="1">
        <w:r w:rsidR="00C06696" w:rsidRPr="00C71115">
          <w:rPr>
            <w:rFonts w:eastAsia="MS Mincho" w:cs="Times New Roman"/>
            <w:b/>
            <w:noProof/>
            <w:sz w:val="28"/>
            <w:szCs w:val="28"/>
            <w:lang w:eastAsia="en-US"/>
          </w:rPr>
          <w:t>2. Apreciação sobre o relatório da SABESP em atendimento ao artigo 6º</w:t>
        </w:r>
        <w:r w:rsidR="00C06696" w:rsidRPr="00C71115">
          <w:rPr>
            <w:rFonts w:eastAsia="MS Mincho" w:cs="Times New Roman"/>
            <w:b/>
            <w:noProof/>
            <w:webHidden/>
            <w:sz w:val="28"/>
            <w:szCs w:val="28"/>
            <w:lang w:eastAsia="en-US"/>
          </w:rPr>
          <w:tab/>
        </w:r>
        <w:r w:rsidR="00C06696" w:rsidRPr="00C71115">
          <w:rPr>
            <w:rFonts w:eastAsia="MS Mincho" w:cs="Times New Roman"/>
            <w:b/>
            <w:noProof/>
            <w:webHidden/>
            <w:sz w:val="28"/>
            <w:szCs w:val="28"/>
            <w:lang w:eastAsia="en-US"/>
          </w:rPr>
          <w:fldChar w:fldCharType="begin"/>
        </w:r>
        <w:r w:rsidR="00C06696" w:rsidRPr="00C71115">
          <w:rPr>
            <w:rFonts w:eastAsia="MS Mincho" w:cs="Times New Roman"/>
            <w:b/>
            <w:noProof/>
            <w:webHidden/>
            <w:sz w:val="28"/>
            <w:szCs w:val="28"/>
            <w:lang w:eastAsia="en-US"/>
          </w:rPr>
          <w:instrText xml:space="preserve"> PAGEREF _Toc519069548 \h </w:instrText>
        </w:r>
        <w:r w:rsidR="00C06696" w:rsidRPr="00C71115">
          <w:rPr>
            <w:rFonts w:eastAsia="MS Mincho" w:cs="Times New Roman"/>
            <w:b/>
            <w:noProof/>
            <w:webHidden/>
            <w:sz w:val="28"/>
            <w:szCs w:val="28"/>
            <w:lang w:eastAsia="en-US"/>
          </w:rPr>
        </w:r>
        <w:r w:rsidR="00C06696" w:rsidRPr="00C71115">
          <w:rPr>
            <w:rFonts w:eastAsia="MS Mincho" w:cs="Times New Roman"/>
            <w:b/>
            <w:noProof/>
            <w:webHidden/>
            <w:sz w:val="28"/>
            <w:szCs w:val="28"/>
            <w:lang w:eastAsia="en-US"/>
          </w:rPr>
          <w:fldChar w:fldCharType="separate"/>
        </w:r>
        <w:r w:rsidR="00C06696" w:rsidRPr="00C71115">
          <w:rPr>
            <w:rFonts w:eastAsia="MS Mincho" w:cs="Times New Roman"/>
            <w:b/>
            <w:noProof/>
            <w:webHidden/>
            <w:sz w:val="28"/>
            <w:szCs w:val="28"/>
            <w:lang w:eastAsia="en-US"/>
          </w:rPr>
          <w:t>4</w:t>
        </w:r>
        <w:r w:rsidR="00C06696" w:rsidRPr="00C71115">
          <w:rPr>
            <w:rFonts w:eastAsia="MS Mincho" w:cs="Times New Roman"/>
            <w:b/>
            <w:noProof/>
            <w:webHidden/>
            <w:sz w:val="28"/>
            <w:szCs w:val="28"/>
            <w:lang w:eastAsia="en-US"/>
          </w:rPr>
          <w:fldChar w:fldCharType="end"/>
        </w:r>
      </w:hyperlink>
    </w:p>
    <w:p w14:paraId="1B996C9B"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49" w:history="1">
        <w:r w:rsidR="00C06696" w:rsidRPr="00C71115">
          <w:rPr>
            <w:rFonts w:eastAsia="MS Mincho" w:cs="Times New Roman"/>
            <w:noProof/>
            <w:sz w:val="28"/>
            <w:szCs w:val="28"/>
          </w:rPr>
          <w:t>2.1. Introdução</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_Toc519069549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4</w:t>
        </w:r>
        <w:r w:rsidR="00C06696" w:rsidRPr="00C71115">
          <w:rPr>
            <w:rFonts w:eastAsia="MS Mincho" w:cs="Times New Roman"/>
            <w:noProof/>
            <w:webHidden/>
            <w:sz w:val="28"/>
            <w:szCs w:val="28"/>
            <w:lang w:eastAsia="en-US"/>
          </w:rPr>
          <w:fldChar w:fldCharType="end"/>
        </w:r>
      </w:hyperlink>
    </w:p>
    <w:p w14:paraId="67E8429E"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0" w:history="1">
        <w:r w:rsidR="00C06696" w:rsidRPr="00C71115">
          <w:rPr>
            <w:rFonts w:eastAsia="MS Mincho" w:cs="Times New Roman"/>
            <w:noProof/>
            <w:sz w:val="28"/>
            <w:szCs w:val="28"/>
          </w:rPr>
          <w:t>2.2. Síntese dos principais tópicos do relatório da SABESP (artigo 6)</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_Toc519069550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4</w:t>
        </w:r>
        <w:r w:rsidR="00C06696" w:rsidRPr="00C71115">
          <w:rPr>
            <w:rFonts w:eastAsia="MS Mincho" w:cs="Times New Roman"/>
            <w:noProof/>
            <w:webHidden/>
            <w:sz w:val="28"/>
            <w:szCs w:val="28"/>
            <w:lang w:eastAsia="en-US"/>
          </w:rPr>
          <w:fldChar w:fldCharType="end"/>
        </w:r>
      </w:hyperlink>
    </w:p>
    <w:p w14:paraId="54508CD0" w14:textId="77777777" w:rsidR="00C06696" w:rsidRPr="00C71115" w:rsidRDefault="00D95149" w:rsidP="00C71115">
      <w:pPr>
        <w:tabs>
          <w:tab w:val="right" w:leader="dot" w:pos="9486"/>
        </w:tabs>
        <w:spacing w:after="0" w:line="240" w:lineRule="auto"/>
        <w:ind w:left="681" w:hanging="397"/>
        <w:jc w:val="both"/>
        <w:rPr>
          <w:rFonts w:eastAsia="MS Mincho" w:cs="Times New Roman"/>
          <w:noProof/>
          <w:sz w:val="28"/>
          <w:szCs w:val="28"/>
          <w:lang w:eastAsia="en-US"/>
        </w:rPr>
      </w:pPr>
      <w:hyperlink w:anchor="_Toc519069551" w:history="1">
        <w:r w:rsidR="00C06696" w:rsidRPr="00C71115">
          <w:rPr>
            <w:rFonts w:eastAsia="MS Mincho" w:cs="Times New Roman"/>
            <w:noProof/>
            <w:sz w:val="28"/>
            <w:szCs w:val="28"/>
          </w:rPr>
          <w:t>2.3. Conclusões</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_Toc519069551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11</w:t>
        </w:r>
        <w:r w:rsidR="00C06696" w:rsidRPr="00C71115">
          <w:rPr>
            <w:rFonts w:eastAsia="MS Mincho" w:cs="Times New Roman"/>
            <w:noProof/>
            <w:webHidden/>
            <w:sz w:val="28"/>
            <w:szCs w:val="28"/>
            <w:lang w:eastAsia="en-US"/>
          </w:rPr>
          <w:fldChar w:fldCharType="end"/>
        </w:r>
      </w:hyperlink>
    </w:p>
    <w:p w14:paraId="3136EED1" w14:textId="77777777" w:rsidR="00C06696" w:rsidRPr="00C71115" w:rsidRDefault="00C06696" w:rsidP="00C71115">
      <w:pPr>
        <w:spacing w:after="120" w:line="240" w:lineRule="auto"/>
        <w:ind w:left="397" w:hanging="397"/>
        <w:jc w:val="both"/>
        <w:rPr>
          <w:rFonts w:eastAsia="MS Mincho" w:cs="Times New Roman"/>
          <w:sz w:val="28"/>
          <w:szCs w:val="28"/>
          <w:lang w:eastAsia="en-US"/>
        </w:rPr>
      </w:pPr>
    </w:p>
    <w:p w14:paraId="237486F1" w14:textId="77777777" w:rsidR="00C06696" w:rsidRPr="00C71115" w:rsidRDefault="00D95149" w:rsidP="00C71115">
      <w:pPr>
        <w:tabs>
          <w:tab w:val="right" w:leader="dot" w:pos="9486"/>
        </w:tabs>
        <w:spacing w:after="120" w:line="240" w:lineRule="auto"/>
        <w:ind w:left="397" w:hanging="397"/>
        <w:jc w:val="both"/>
        <w:rPr>
          <w:rFonts w:eastAsia="Times New Roman" w:cs="Times New Roman"/>
          <w:b/>
          <w:noProof/>
          <w:sz w:val="28"/>
          <w:szCs w:val="28"/>
        </w:rPr>
      </w:pPr>
      <w:hyperlink w:anchor="_Toc519069552" w:history="1">
        <w:r w:rsidR="00C06696" w:rsidRPr="00C71115">
          <w:rPr>
            <w:rFonts w:eastAsia="MS Mincho" w:cs="Times New Roman"/>
            <w:b/>
            <w:noProof/>
            <w:sz w:val="28"/>
            <w:szCs w:val="28"/>
            <w:lang w:eastAsia="en-US"/>
          </w:rPr>
          <w:t>3. Apreciação sobre o relatório da SABESP em atendimento ao artigo 12º</w:t>
        </w:r>
        <w:r w:rsidR="00C06696" w:rsidRPr="00C71115">
          <w:rPr>
            <w:rFonts w:eastAsia="MS Mincho" w:cs="Times New Roman"/>
            <w:b/>
            <w:noProof/>
            <w:webHidden/>
            <w:sz w:val="28"/>
            <w:szCs w:val="28"/>
            <w:lang w:eastAsia="en-US"/>
          </w:rPr>
          <w:tab/>
        </w:r>
        <w:r w:rsidR="00C06696" w:rsidRPr="00C71115">
          <w:rPr>
            <w:rFonts w:eastAsia="MS Mincho" w:cs="Times New Roman"/>
            <w:b/>
            <w:noProof/>
            <w:webHidden/>
            <w:sz w:val="28"/>
            <w:szCs w:val="28"/>
            <w:lang w:eastAsia="en-US"/>
          </w:rPr>
          <w:fldChar w:fldCharType="begin"/>
        </w:r>
        <w:r w:rsidR="00C06696" w:rsidRPr="00C71115">
          <w:rPr>
            <w:rFonts w:eastAsia="MS Mincho" w:cs="Times New Roman"/>
            <w:b/>
            <w:noProof/>
            <w:webHidden/>
            <w:sz w:val="28"/>
            <w:szCs w:val="28"/>
            <w:lang w:eastAsia="en-US"/>
          </w:rPr>
          <w:instrText xml:space="preserve"> PAGEREF _Toc519069552 \h </w:instrText>
        </w:r>
        <w:r w:rsidR="00C06696" w:rsidRPr="00C71115">
          <w:rPr>
            <w:rFonts w:eastAsia="MS Mincho" w:cs="Times New Roman"/>
            <w:b/>
            <w:noProof/>
            <w:webHidden/>
            <w:sz w:val="28"/>
            <w:szCs w:val="28"/>
            <w:lang w:eastAsia="en-US"/>
          </w:rPr>
        </w:r>
        <w:r w:rsidR="00C06696" w:rsidRPr="00C71115">
          <w:rPr>
            <w:rFonts w:eastAsia="MS Mincho" w:cs="Times New Roman"/>
            <w:b/>
            <w:noProof/>
            <w:webHidden/>
            <w:sz w:val="28"/>
            <w:szCs w:val="28"/>
            <w:lang w:eastAsia="en-US"/>
          </w:rPr>
          <w:fldChar w:fldCharType="separate"/>
        </w:r>
        <w:r w:rsidR="00C06696" w:rsidRPr="00C71115">
          <w:rPr>
            <w:rFonts w:eastAsia="MS Mincho" w:cs="Times New Roman"/>
            <w:b/>
            <w:noProof/>
            <w:webHidden/>
            <w:sz w:val="28"/>
            <w:szCs w:val="28"/>
            <w:lang w:eastAsia="en-US"/>
          </w:rPr>
          <w:t>12</w:t>
        </w:r>
        <w:r w:rsidR="00C06696" w:rsidRPr="00C71115">
          <w:rPr>
            <w:rFonts w:eastAsia="MS Mincho" w:cs="Times New Roman"/>
            <w:b/>
            <w:noProof/>
            <w:webHidden/>
            <w:sz w:val="28"/>
            <w:szCs w:val="28"/>
            <w:lang w:eastAsia="en-US"/>
          </w:rPr>
          <w:fldChar w:fldCharType="end"/>
        </w:r>
      </w:hyperlink>
    </w:p>
    <w:p w14:paraId="48699C2C"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3" w:history="1">
        <w:r w:rsidR="00C06696" w:rsidRPr="00C71115">
          <w:rPr>
            <w:rFonts w:eastAsia="MS Mincho" w:cs="Times New Roman"/>
            <w:noProof/>
            <w:sz w:val="28"/>
            <w:szCs w:val="28"/>
          </w:rPr>
          <w:t>3.1. Introdução</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_Toc519069553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12</w:t>
        </w:r>
        <w:r w:rsidR="00C06696" w:rsidRPr="00C71115">
          <w:rPr>
            <w:rFonts w:eastAsia="MS Mincho" w:cs="Times New Roman"/>
            <w:noProof/>
            <w:webHidden/>
            <w:sz w:val="28"/>
            <w:szCs w:val="28"/>
            <w:lang w:eastAsia="en-US"/>
          </w:rPr>
          <w:fldChar w:fldCharType="end"/>
        </w:r>
      </w:hyperlink>
    </w:p>
    <w:p w14:paraId="16992EE9"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4" w:history="1">
        <w:r w:rsidR="00C06696" w:rsidRPr="00C71115">
          <w:rPr>
            <w:rFonts w:eastAsia="MS Mincho" w:cs="Times New Roman"/>
            <w:noProof/>
            <w:sz w:val="28"/>
            <w:szCs w:val="28"/>
          </w:rPr>
          <w:t>3.2. Síntese dos principais tópicos do relatório da SABESP (artigo 12)</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_Toc519069554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12</w:t>
        </w:r>
        <w:r w:rsidR="00C06696" w:rsidRPr="00C71115">
          <w:rPr>
            <w:rFonts w:eastAsia="MS Mincho" w:cs="Times New Roman"/>
            <w:noProof/>
            <w:webHidden/>
            <w:sz w:val="28"/>
            <w:szCs w:val="28"/>
            <w:lang w:eastAsia="en-US"/>
          </w:rPr>
          <w:fldChar w:fldCharType="end"/>
        </w:r>
      </w:hyperlink>
    </w:p>
    <w:p w14:paraId="0DA95BD7"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5" w:history="1">
        <w:r w:rsidR="00C06696" w:rsidRPr="00C71115">
          <w:rPr>
            <w:rFonts w:eastAsia="MS Mincho" w:cs="Times New Roman"/>
            <w:noProof/>
            <w:sz w:val="28"/>
            <w:szCs w:val="28"/>
          </w:rPr>
          <w:t>3.3. O Plano de Mobilização para Utilização da Reserva Técnica</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_Toc519069555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15</w:t>
        </w:r>
        <w:r w:rsidR="00C06696" w:rsidRPr="00C71115">
          <w:rPr>
            <w:rFonts w:eastAsia="MS Mincho" w:cs="Times New Roman"/>
            <w:noProof/>
            <w:webHidden/>
            <w:sz w:val="28"/>
            <w:szCs w:val="28"/>
            <w:lang w:eastAsia="en-US"/>
          </w:rPr>
          <w:fldChar w:fldCharType="end"/>
        </w:r>
      </w:hyperlink>
    </w:p>
    <w:p w14:paraId="35350D9D"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6" w:history="1">
        <w:r w:rsidR="00C06696" w:rsidRPr="00C71115">
          <w:rPr>
            <w:rFonts w:eastAsia="MS Mincho" w:cs="Times New Roman"/>
            <w:noProof/>
            <w:sz w:val="28"/>
            <w:szCs w:val="28"/>
          </w:rPr>
          <w:t>3.4. Estimativa de custos</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_Toc519069556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18</w:t>
        </w:r>
        <w:r w:rsidR="00C06696" w:rsidRPr="00C71115">
          <w:rPr>
            <w:rFonts w:eastAsia="MS Mincho" w:cs="Times New Roman"/>
            <w:noProof/>
            <w:webHidden/>
            <w:sz w:val="28"/>
            <w:szCs w:val="28"/>
            <w:lang w:eastAsia="en-US"/>
          </w:rPr>
          <w:fldChar w:fldCharType="end"/>
        </w:r>
      </w:hyperlink>
    </w:p>
    <w:p w14:paraId="4F5816F4" w14:textId="77777777" w:rsidR="00C06696" w:rsidRPr="00C71115" w:rsidRDefault="00D95149" w:rsidP="00C71115">
      <w:pPr>
        <w:tabs>
          <w:tab w:val="right" w:leader="dot" w:pos="9486"/>
        </w:tabs>
        <w:spacing w:after="0" w:line="240" w:lineRule="auto"/>
        <w:ind w:left="681" w:hanging="397"/>
        <w:jc w:val="both"/>
        <w:rPr>
          <w:rFonts w:eastAsia="Times New Roman" w:cs="Times New Roman"/>
          <w:noProof/>
          <w:sz w:val="28"/>
          <w:szCs w:val="28"/>
        </w:rPr>
      </w:pPr>
      <w:hyperlink w:anchor="_Toc519069557" w:history="1">
        <w:r w:rsidR="00C06696" w:rsidRPr="00C71115">
          <w:rPr>
            <w:rFonts w:eastAsia="Calibri" w:cs="Times New Roman"/>
            <w:noProof/>
            <w:sz w:val="28"/>
            <w:szCs w:val="28"/>
            <w:lang w:eastAsia="en-US"/>
          </w:rPr>
          <w:t>3.5. Conclusões</w:t>
        </w:r>
        <w:r w:rsidR="00C06696" w:rsidRPr="00C71115">
          <w:rPr>
            <w:rFonts w:eastAsia="MS Mincho" w:cs="Times New Roman"/>
            <w:noProof/>
            <w:webHidden/>
            <w:sz w:val="28"/>
            <w:szCs w:val="28"/>
            <w:lang w:eastAsia="en-US"/>
          </w:rPr>
          <w:tab/>
        </w:r>
        <w:r w:rsidR="00C06696" w:rsidRPr="00C71115">
          <w:rPr>
            <w:rFonts w:eastAsia="MS Mincho" w:cs="Times New Roman"/>
            <w:noProof/>
            <w:webHidden/>
            <w:sz w:val="28"/>
            <w:szCs w:val="28"/>
            <w:lang w:eastAsia="en-US"/>
          </w:rPr>
          <w:fldChar w:fldCharType="begin"/>
        </w:r>
        <w:r w:rsidR="00C06696" w:rsidRPr="00C71115">
          <w:rPr>
            <w:rFonts w:eastAsia="MS Mincho" w:cs="Times New Roman"/>
            <w:noProof/>
            <w:webHidden/>
            <w:sz w:val="28"/>
            <w:szCs w:val="28"/>
            <w:lang w:eastAsia="en-US"/>
          </w:rPr>
          <w:instrText xml:space="preserve"> PAGEREF _Toc519069557 \h </w:instrText>
        </w:r>
        <w:r w:rsidR="00C06696" w:rsidRPr="00C71115">
          <w:rPr>
            <w:rFonts w:eastAsia="MS Mincho" w:cs="Times New Roman"/>
            <w:noProof/>
            <w:webHidden/>
            <w:sz w:val="28"/>
            <w:szCs w:val="28"/>
            <w:lang w:eastAsia="en-US"/>
          </w:rPr>
        </w:r>
        <w:r w:rsidR="00C06696" w:rsidRPr="00C71115">
          <w:rPr>
            <w:rFonts w:eastAsia="MS Mincho" w:cs="Times New Roman"/>
            <w:noProof/>
            <w:webHidden/>
            <w:sz w:val="28"/>
            <w:szCs w:val="28"/>
            <w:lang w:eastAsia="en-US"/>
          </w:rPr>
          <w:fldChar w:fldCharType="separate"/>
        </w:r>
        <w:r w:rsidR="00C06696" w:rsidRPr="00C71115">
          <w:rPr>
            <w:rFonts w:eastAsia="MS Mincho" w:cs="Times New Roman"/>
            <w:noProof/>
            <w:webHidden/>
            <w:sz w:val="28"/>
            <w:szCs w:val="28"/>
            <w:lang w:eastAsia="en-US"/>
          </w:rPr>
          <w:t>19</w:t>
        </w:r>
        <w:r w:rsidR="00C06696" w:rsidRPr="00C71115">
          <w:rPr>
            <w:rFonts w:eastAsia="MS Mincho" w:cs="Times New Roman"/>
            <w:noProof/>
            <w:webHidden/>
            <w:sz w:val="28"/>
            <w:szCs w:val="28"/>
            <w:lang w:eastAsia="en-US"/>
          </w:rPr>
          <w:fldChar w:fldCharType="end"/>
        </w:r>
      </w:hyperlink>
    </w:p>
    <w:p w14:paraId="01755D18" w14:textId="77777777" w:rsidR="00C06696" w:rsidRPr="00C71115" w:rsidRDefault="00C06696" w:rsidP="00C71115">
      <w:pPr>
        <w:autoSpaceDE w:val="0"/>
        <w:autoSpaceDN w:val="0"/>
        <w:adjustRightInd w:val="0"/>
        <w:spacing w:after="240" w:line="240" w:lineRule="auto"/>
        <w:jc w:val="both"/>
        <w:rPr>
          <w:rFonts w:eastAsia="MS Mincho" w:cs="Times New Roman"/>
          <w:sz w:val="28"/>
          <w:szCs w:val="28"/>
          <w:lang w:eastAsia="en-US"/>
        </w:rPr>
      </w:pPr>
      <w:r w:rsidRPr="00C71115">
        <w:rPr>
          <w:rFonts w:eastAsia="MS Mincho" w:cs="Times New Roman"/>
          <w:sz w:val="28"/>
          <w:szCs w:val="28"/>
          <w:lang w:eastAsia="en-US"/>
        </w:rPr>
        <w:fldChar w:fldCharType="end"/>
      </w:r>
    </w:p>
    <w:p w14:paraId="0E811C04" w14:textId="77777777" w:rsidR="00C06696" w:rsidRPr="00C71115" w:rsidRDefault="00C06696" w:rsidP="00C71115">
      <w:pPr>
        <w:autoSpaceDE w:val="0"/>
        <w:autoSpaceDN w:val="0"/>
        <w:adjustRightInd w:val="0"/>
        <w:spacing w:after="120" w:line="240" w:lineRule="auto"/>
        <w:jc w:val="both"/>
        <w:rPr>
          <w:rFonts w:eastAsia="MS Mincho" w:cs="Times New Roman"/>
          <w:bCs/>
          <w:sz w:val="28"/>
          <w:szCs w:val="28"/>
        </w:rPr>
      </w:pPr>
    </w:p>
    <w:p w14:paraId="0A1C8512" w14:textId="77777777" w:rsidR="00C06696" w:rsidRPr="00C71115" w:rsidRDefault="00C06696" w:rsidP="00B40B99">
      <w:pPr>
        <w:keepNext/>
        <w:pageBreakBefore/>
        <w:spacing w:after="360" w:line="240" w:lineRule="auto"/>
        <w:jc w:val="both"/>
        <w:outlineLvl w:val="0"/>
        <w:rPr>
          <w:rFonts w:eastAsia="Times New Roman" w:cs="Times New Roman"/>
          <w:b/>
          <w:bCs/>
          <w:kern w:val="32"/>
          <w:sz w:val="28"/>
          <w:szCs w:val="28"/>
        </w:rPr>
      </w:pPr>
      <w:bookmarkStart w:id="0" w:name="_Toc507688636"/>
      <w:bookmarkStart w:id="1" w:name="_Toc519069547"/>
      <w:r w:rsidRPr="00C71115">
        <w:rPr>
          <w:rFonts w:eastAsia="Times New Roman" w:cs="Times New Roman"/>
          <w:b/>
          <w:bCs/>
          <w:kern w:val="32"/>
          <w:sz w:val="28"/>
          <w:szCs w:val="28"/>
        </w:rPr>
        <w:lastRenderedPageBreak/>
        <w:t>1. Histórico</w:t>
      </w:r>
      <w:bookmarkEnd w:id="0"/>
      <w:bookmarkEnd w:id="1"/>
      <w:r w:rsidRPr="00C71115">
        <w:rPr>
          <w:rFonts w:eastAsia="Times New Roman" w:cs="Times New Roman"/>
          <w:b/>
          <w:bCs/>
          <w:kern w:val="32"/>
          <w:sz w:val="28"/>
          <w:szCs w:val="28"/>
        </w:rPr>
        <w:t xml:space="preserve"> </w:t>
      </w:r>
    </w:p>
    <w:p w14:paraId="0329CAB0"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lang w:val="x-none"/>
        </w:rPr>
        <w:t xml:space="preserve">A </w:t>
      </w:r>
      <w:r w:rsidRPr="00C71115">
        <w:rPr>
          <w:rFonts w:eastAsia="MS Mincho" w:cs="Times New Roman"/>
          <w:sz w:val="28"/>
          <w:szCs w:val="28"/>
        </w:rPr>
        <w:t xml:space="preserve">primeira </w:t>
      </w:r>
      <w:r w:rsidRPr="00C71115">
        <w:rPr>
          <w:rFonts w:eastAsia="MS Mincho" w:cs="Times New Roman"/>
          <w:sz w:val="28"/>
          <w:szCs w:val="28"/>
          <w:lang w:val="x-none"/>
        </w:rPr>
        <w:t xml:space="preserve">autorização </w:t>
      </w:r>
      <w:r w:rsidRPr="00C71115">
        <w:rPr>
          <w:rFonts w:eastAsia="MS Mincho" w:cs="Times New Roman"/>
          <w:sz w:val="28"/>
          <w:szCs w:val="28"/>
        </w:rPr>
        <w:t xml:space="preserve">(outorga) </w:t>
      </w:r>
      <w:r w:rsidRPr="00C71115">
        <w:rPr>
          <w:rFonts w:eastAsia="MS Mincho" w:cs="Times New Roman"/>
          <w:sz w:val="28"/>
          <w:szCs w:val="28"/>
          <w:lang w:val="x-none"/>
        </w:rPr>
        <w:t xml:space="preserve">para </w:t>
      </w:r>
      <w:r w:rsidRPr="00C71115">
        <w:rPr>
          <w:rFonts w:eastAsia="MS Mincho" w:cs="Times New Roman"/>
          <w:sz w:val="28"/>
          <w:szCs w:val="28"/>
        </w:rPr>
        <w:t xml:space="preserve">que o Sistema Cantareira utilize </w:t>
      </w:r>
      <w:r w:rsidRPr="00C71115">
        <w:rPr>
          <w:rFonts w:eastAsia="MS Mincho" w:cs="Times New Roman"/>
          <w:sz w:val="28"/>
          <w:szCs w:val="28"/>
          <w:lang w:val="x-none"/>
        </w:rPr>
        <w:t>até 33</w:t>
      </w:r>
      <w:r w:rsidRPr="00C71115">
        <w:rPr>
          <w:rFonts w:eastAsia="MS Mincho" w:cs="Times New Roman"/>
          <w:sz w:val="28"/>
          <w:szCs w:val="28"/>
        </w:rPr>
        <w:t xml:space="preserve"> </w:t>
      </w:r>
      <w:r w:rsidRPr="00C71115">
        <w:rPr>
          <w:rFonts w:eastAsia="MS Mincho" w:cs="Times New Roman"/>
          <w:sz w:val="28"/>
          <w:szCs w:val="28"/>
          <w:lang w:val="x-none"/>
        </w:rPr>
        <w:t>m</w:t>
      </w:r>
      <w:r w:rsidRPr="00C71115">
        <w:rPr>
          <w:rFonts w:eastAsia="MS Mincho" w:cs="Times New Roman"/>
          <w:sz w:val="28"/>
          <w:szCs w:val="28"/>
          <w:vertAlign w:val="superscript"/>
          <w:lang w:val="x-none"/>
        </w:rPr>
        <w:t>3</w:t>
      </w:r>
      <w:r w:rsidRPr="00C71115">
        <w:rPr>
          <w:rFonts w:eastAsia="MS Mincho" w:cs="Times New Roman"/>
          <w:sz w:val="28"/>
          <w:szCs w:val="28"/>
          <w:lang w:val="x-none"/>
        </w:rPr>
        <w:t xml:space="preserve">/s </w:t>
      </w:r>
      <w:r w:rsidRPr="00C71115">
        <w:rPr>
          <w:rFonts w:eastAsia="MS Mincho" w:cs="Times New Roman"/>
          <w:sz w:val="28"/>
          <w:szCs w:val="28"/>
        </w:rPr>
        <w:t xml:space="preserve">para abastecimento da RMSP </w:t>
      </w:r>
      <w:r w:rsidRPr="00C71115">
        <w:rPr>
          <w:rFonts w:eastAsia="MS Mincho" w:cs="Times New Roman"/>
          <w:sz w:val="28"/>
          <w:szCs w:val="28"/>
          <w:lang w:val="x-none"/>
        </w:rPr>
        <w:t>foi dada pela Portaria n</w:t>
      </w:r>
      <w:r w:rsidRPr="00C71115">
        <w:rPr>
          <w:rFonts w:eastAsia="MS Mincho" w:cs="Times New Roman"/>
          <w:sz w:val="28"/>
          <w:szCs w:val="28"/>
          <w:vertAlign w:val="superscript"/>
          <w:lang w:val="x-none"/>
        </w:rPr>
        <w:t>o</w:t>
      </w:r>
      <w:r w:rsidRPr="00C71115">
        <w:rPr>
          <w:rFonts w:eastAsia="MS Mincho" w:cs="Times New Roman"/>
          <w:sz w:val="28"/>
          <w:szCs w:val="28"/>
          <w:lang w:val="x-none"/>
        </w:rPr>
        <w:t xml:space="preserve"> 750 do Ministério das</w:t>
      </w:r>
      <w:r w:rsidRPr="00C71115">
        <w:rPr>
          <w:rFonts w:eastAsia="MS Mincho" w:cs="Times New Roman"/>
          <w:sz w:val="28"/>
          <w:szCs w:val="28"/>
        </w:rPr>
        <w:t xml:space="preserve"> </w:t>
      </w:r>
      <w:r w:rsidRPr="00C71115">
        <w:rPr>
          <w:rFonts w:eastAsia="MS Mincho" w:cs="Times New Roman"/>
          <w:sz w:val="28"/>
          <w:szCs w:val="28"/>
          <w:lang w:val="x-none"/>
        </w:rPr>
        <w:t>Minas e Energia – MME, publicada em 08 de agosto de 1974, estabelecendo um prazo de 30 anos</w:t>
      </w:r>
      <w:r w:rsidRPr="00C71115">
        <w:rPr>
          <w:rFonts w:eastAsia="MS Mincho" w:cs="Times New Roman"/>
          <w:sz w:val="28"/>
          <w:szCs w:val="28"/>
        </w:rPr>
        <w:t xml:space="preserve"> </w:t>
      </w:r>
      <w:r w:rsidRPr="00C71115">
        <w:rPr>
          <w:rFonts w:eastAsia="MS Mincho" w:cs="Times New Roman"/>
          <w:sz w:val="28"/>
          <w:szCs w:val="28"/>
          <w:lang w:val="x-none"/>
        </w:rPr>
        <w:t>de vigência</w:t>
      </w:r>
      <w:r w:rsidRPr="00C71115">
        <w:rPr>
          <w:rFonts w:eastAsia="MS Mincho" w:cs="Times New Roman"/>
          <w:sz w:val="28"/>
          <w:szCs w:val="28"/>
        </w:rPr>
        <w:t>, ou seja, até agosto de 2004</w:t>
      </w:r>
      <w:r w:rsidRPr="00C71115">
        <w:rPr>
          <w:rFonts w:eastAsia="MS Mincho" w:cs="Times New Roman"/>
          <w:sz w:val="28"/>
          <w:szCs w:val="28"/>
          <w:lang w:val="x-none"/>
        </w:rPr>
        <w:t>.</w:t>
      </w:r>
    </w:p>
    <w:p w14:paraId="7551742D"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Em agosto de 2004 – após inúmeras discussões envolvendo principalmente os integrantes do Comitê de Bacia PCJ – a</w:t>
      </w:r>
      <w:r w:rsidRPr="00C71115">
        <w:rPr>
          <w:rFonts w:eastAsia="MS Mincho" w:cs="Times New Roman"/>
          <w:sz w:val="28"/>
          <w:szCs w:val="28"/>
          <w:lang w:val="x-none"/>
        </w:rPr>
        <w:t xml:space="preserve"> outorga à Sabesp foi </w:t>
      </w:r>
      <w:r w:rsidRPr="00C71115">
        <w:rPr>
          <w:rFonts w:eastAsia="MS Mincho" w:cs="Times New Roman"/>
          <w:sz w:val="28"/>
          <w:szCs w:val="28"/>
        </w:rPr>
        <w:t>renovada</w:t>
      </w:r>
      <w:r w:rsidRPr="00C71115">
        <w:rPr>
          <w:rFonts w:eastAsia="MS Mincho" w:cs="Times New Roman"/>
          <w:sz w:val="28"/>
          <w:szCs w:val="28"/>
          <w:lang w:val="x-none"/>
        </w:rPr>
        <w:t xml:space="preserve"> pelo DAEE </w:t>
      </w:r>
      <w:r w:rsidRPr="00C71115">
        <w:rPr>
          <w:rFonts w:eastAsia="MS Mincho" w:cs="Times New Roman"/>
          <w:sz w:val="28"/>
          <w:szCs w:val="28"/>
        </w:rPr>
        <w:t>(</w:t>
      </w:r>
      <w:r w:rsidRPr="00C71115">
        <w:rPr>
          <w:rFonts w:eastAsia="MS Mincho" w:cs="Times New Roman"/>
          <w:sz w:val="28"/>
          <w:szCs w:val="28"/>
          <w:lang w:val="x-none"/>
        </w:rPr>
        <w:t xml:space="preserve">por delegação da </w:t>
      </w:r>
      <w:r w:rsidRPr="00C71115">
        <w:rPr>
          <w:rFonts w:eastAsia="MS Mincho" w:cs="Times New Roman"/>
          <w:sz w:val="28"/>
          <w:szCs w:val="28"/>
        </w:rPr>
        <w:t xml:space="preserve">Agência Nacional de Águas – </w:t>
      </w:r>
      <w:r w:rsidRPr="00C71115">
        <w:rPr>
          <w:rFonts w:eastAsia="MS Mincho" w:cs="Times New Roman"/>
          <w:sz w:val="28"/>
          <w:szCs w:val="28"/>
          <w:lang w:val="x-none"/>
        </w:rPr>
        <w:t>ANA</w:t>
      </w:r>
      <w:r w:rsidRPr="00C71115">
        <w:rPr>
          <w:rFonts w:eastAsia="MS Mincho" w:cs="Times New Roman"/>
          <w:sz w:val="28"/>
          <w:szCs w:val="28"/>
        </w:rPr>
        <w:t>)</w:t>
      </w:r>
      <w:r w:rsidRPr="00C71115">
        <w:rPr>
          <w:rFonts w:eastAsia="MS Mincho" w:cs="Times New Roman"/>
          <w:sz w:val="28"/>
          <w:szCs w:val="28"/>
          <w:lang w:val="x-none"/>
        </w:rPr>
        <w:t xml:space="preserve"> </w:t>
      </w:r>
      <w:r w:rsidRPr="00C71115">
        <w:rPr>
          <w:rFonts w:eastAsia="MS Mincho" w:cs="Times New Roman"/>
          <w:sz w:val="28"/>
          <w:szCs w:val="28"/>
        </w:rPr>
        <w:t xml:space="preserve">com prazo de vigência de 10 anos, ou seja, até </w:t>
      </w:r>
      <w:r w:rsidRPr="00C71115">
        <w:rPr>
          <w:rFonts w:eastAsia="MS Mincho" w:cs="Times New Roman"/>
          <w:sz w:val="28"/>
          <w:szCs w:val="28"/>
          <w:lang w:val="x-none"/>
        </w:rPr>
        <w:t xml:space="preserve">agosto de 2014. </w:t>
      </w:r>
    </w:p>
    <w:p w14:paraId="50E2C751" w14:textId="77777777" w:rsidR="00C06696" w:rsidRPr="00C71115" w:rsidRDefault="00C06696" w:rsidP="00C71115">
      <w:pPr>
        <w:spacing w:after="240" w:line="240" w:lineRule="auto"/>
        <w:jc w:val="both"/>
        <w:rPr>
          <w:rFonts w:eastAsia="Times New Roman" w:cs="Times New Roman"/>
          <w:sz w:val="28"/>
          <w:szCs w:val="28"/>
        </w:rPr>
      </w:pPr>
      <w:r w:rsidRPr="00C71115">
        <w:rPr>
          <w:rFonts w:eastAsia="MS Mincho" w:cs="Times New Roman"/>
          <w:sz w:val="28"/>
          <w:szCs w:val="28"/>
        </w:rPr>
        <w:t xml:space="preserve">Todavia, </w:t>
      </w:r>
      <w:r w:rsidRPr="00C71115">
        <w:rPr>
          <w:rFonts w:eastAsia="MS Mincho" w:cs="Times New Roman"/>
          <w:sz w:val="28"/>
          <w:szCs w:val="28"/>
          <w:lang w:val="x-none"/>
        </w:rPr>
        <w:t>devido à seca extrema de 2014</w:t>
      </w:r>
      <w:r w:rsidRPr="00C71115">
        <w:rPr>
          <w:rFonts w:eastAsia="MS Mincho" w:cs="Times New Roman"/>
          <w:sz w:val="28"/>
          <w:szCs w:val="28"/>
        </w:rPr>
        <w:t xml:space="preserve"> que afetou todo o Sistema Interligado da RMSP, a discussão sobre as condições de renovação da outorga foi prejudicada e</w:t>
      </w:r>
      <w:r w:rsidRPr="00C71115">
        <w:rPr>
          <w:rFonts w:eastAsia="MS Mincho" w:cs="Times New Roman"/>
          <w:sz w:val="28"/>
          <w:szCs w:val="28"/>
          <w:lang w:val="x-none"/>
        </w:rPr>
        <w:t xml:space="preserve"> a sua vigência prorrogada.</w:t>
      </w:r>
      <w:r w:rsidRPr="00C71115">
        <w:rPr>
          <w:rFonts w:eastAsia="MS Mincho" w:cs="Times New Roman"/>
          <w:sz w:val="28"/>
          <w:szCs w:val="28"/>
        </w:rPr>
        <w:t xml:space="preserve"> O </w:t>
      </w:r>
      <w:r w:rsidRPr="00C71115">
        <w:rPr>
          <w:rFonts w:eastAsia="Times New Roman" w:cs="Times New Roman"/>
          <w:sz w:val="28"/>
          <w:szCs w:val="28"/>
        </w:rPr>
        <w:t xml:space="preserve">período extremamente seco de 2014 avançou para o ano de 2015 e o prazo de renovação de outorga foi estendido mais uma vez, por meio da Resolução Conjunta ANA-DAEE nº 1.200 de 22-out-2015 (até maio de 2017). </w:t>
      </w:r>
    </w:p>
    <w:p w14:paraId="27054306" w14:textId="77777777" w:rsidR="00C06696" w:rsidRPr="00C71115" w:rsidRDefault="00C06696" w:rsidP="00C71115">
      <w:pPr>
        <w:spacing w:after="240" w:line="240" w:lineRule="auto"/>
        <w:jc w:val="both"/>
        <w:rPr>
          <w:rFonts w:eastAsia="Times New Roman" w:cs="Times New Roman"/>
          <w:sz w:val="28"/>
          <w:szCs w:val="28"/>
        </w:rPr>
      </w:pPr>
      <w:r w:rsidRPr="00C71115">
        <w:rPr>
          <w:rFonts w:eastAsia="Times New Roman" w:cs="Times New Roman"/>
          <w:sz w:val="28"/>
          <w:szCs w:val="28"/>
        </w:rPr>
        <w:t xml:space="preserve">Por fim, em </w:t>
      </w:r>
      <w:r w:rsidRPr="00C71115">
        <w:rPr>
          <w:rFonts w:eastAsia="MS Mincho" w:cs="Times New Roman"/>
          <w:sz w:val="28"/>
          <w:szCs w:val="28"/>
          <w:lang w:val="x-none"/>
        </w:rPr>
        <w:t xml:space="preserve">8 de março de 2016, os </w:t>
      </w:r>
      <w:r w:rsidRPr="00C71115">
        <w:rPr>
          <w:rFonts w:eastAsia="MS Mincho" w:cs="Times New Roman"/>
          <w:sz w:val="28"/>
          <w:szCs w:val="28"/>
        </w:rPr>
        <w:t xml:space="preserve">órgãos </w:t>
      </w:r>
      <w:r w:rsidRPr="00C71115">
        <w:rPr>
          <w:rFonts w:eastAsia="MS Mincho" w:cs="Times New Roman"/>
          <w:sz w:val="28"/>
          <w:szCs w:val="28"/>
          <w:lang w:val="x-none"/>
        </w:rPr>
        <w:t>reguladores cancelaram</w:t>
      </w:r>
      <w:r w:rsidRPr="00C71115">
        <w:rPr>
          <w:rFonts w:eastAsia="MS Mincho" w:cs="Times New Roman"/>
          <w:sz w:val="28"/>
          <w:szCs w:val="28"/>
        </w:rPr>
        <w:t xml:space="preserve"> </w:t>
      </w:r>
      <w:r w:rsidRPr="00C71115">
        <w:rPr>
          <w:rFonts w:eastAsia="MS Mincho" w:cs="Times New Roman"/>
          <w:sz w:val="28"/>
          <w:szCs w:val="28"/>
          <w:lang w:val="x-none"/>
        </w:rPr>
        <w:t xml:space="preserve">as autorizações para uso </w:t>
      </w:r>
      <w:r w:rsidRPr="00C71115">
        <w:rPr>
          <w:rFonts w:eastAsia="MS Mincho" w:cs="Times New Roman"/>
          <w:sz w:val="28"/>
          <w:szCs w:val="28"/>
        </w:rPr>
        <w:t xml:space="preserve">das águas </w:t>
      </w:r>
      <w:r w:rsidRPr="00C71115">
        <w:rPr>
          <w:rFonts w:eastAsia="MS Mincho" w:cs="Times New Roman"/>
          <w:sz w:val="28"/>
          <w:szCs w:val="28"/>
          <w:lang w:val="x-none"/>
        </w:rPr>
        <w:t>das reservas técnicas</w:t>
      </w:r>
      <w:r w:rsidRPr="00C71115">
        <w:rPr>
          <w:rFonts w:eastAsia="MS Mincho" w:cs="Times New Roman"/>
          <w:sz w:val="28"/>
          <w:szCs w:val="28"/>
        </w:rPr>
        <w:t xml:space="preserve"> </w:t>
      </w:r>
      <w:r w:rsidRPr="00C71115">
        <w:rPr>
          <w:rFonts w:eastAsia="MS Mincho" w:cs="Times New Roman"/>
          <w:sz w:val="28"/>
          <w:szCs w:val="28"/>
          <w:lang w:val="x-none"/>
        </w:rPr>
        <w:t>devido à</w:t>
      </w:r>
      <w:r w:rsidRPr="00C71115">
        <w:rPr>
          <w:rFonts w:eastAsia="MS Mincho" w:cs="Times New Roman"/>
          <w:sz w:val="28"/>
          <w:szCs w:val="28"/>
        </w:rPr>
        <w:t xml:space="preserve"> </w:t>
      </w:r>
      <w:r w:rsidRPr="00C71115">
        <w:rPr>
          <w:rFonts w:eastAsia="MS Mincho" w:cs="Times New Roman"/>
          <w:sz w:val="28"/>
          <w:szCs w:val="28"/>
          <w:lang w:val="x-none"/>
        </w:rPr>
        <w:t>recuperação dos volumes do Sistema Cantareira</w:t>
      </w:r>
      <w:r w:rsidRPr="00C71115">
        <w:rPr>
          <w:rFonts w:eastAsia="MS Mincho" w:cs="Times New Roman"/>
          <w:sz w:val="28"/>
          <w:szCs w:val="28"/>
        </w:rPr>
        <w:t xml:space="preserve">, o que permitiu à </w:t>
      </w:r>
      <w:r w:rsidRPr="00C71115">
        <w:rPr>
          <w:rFonts w:eastAsia="Times New Roman" w:cs="Times New Roman"/>
          <w:sz w:val="28"/>
          <w:szCs w:val="28"/>
        </w:rPr>
        <w:t>ANA e ao DAEE reprogramar as atividades para renovação da outorga do Sistema Cantareira:</w:t>
      </w:r>
    </w:p>
    <w:p w14:paraId="0FE8F36E" w14:textId="77777777" w:rsidR="00C06696" w:rsidRPr="00C71115" w:rsidRDefault="00C06696" w:rsidP="00C71115">
      <w:pPr>
        <w:spacing w:after="240" w:line="240" w:lineRule="auto"/>
        <w:jc w:val="both"/>
        <w:rPr>
          <w:rFonts w:eastAsia="Times New Roman" w:cs="Times New Roman"/>
          <w:sz w:val="28"/>
          <w:szCs w:val="28"/>
        </w:rPr>
      </w:pPr>
      <w:r w:rsidRPr="00C71115">
        <w:rPr>
          <w:rFonts w:eastAsia="Times New Roman" w:cs="Times New Roman"/>
          <w:sz w:val="28"/>
          <w:szCs w:val="28"/>
        </w:rPr>
        <w:t>Assim, em 28 de março de 2016, a ANA e o DAEE estabeleceram um novo cronograma para renovação da outorga do Sistema Cantareira com o cumprimento das seguintes etapas:</w:t>
      </w:r>
    </w:p>
    <w:p w14:paraId="76CF89EA"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Disponibilização de dados de referência atualizados até dezembro/2015 </w:t>
      </w:r>
    </w:p>
    <w:p w14:paraId="12EAD6BD"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Recebimento, pela ANA e pelo DAEE, das considerações e eventuais atualizações das propostas dos entes do Sistema (Comitês, Sabesp e IGAM);</w:t>
      </w:r>
    </w:p>
    <w:p w14:paraId="563CC688"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Realização de duas reuniões técnicas públicas (uma no PCJ e outra na RMSP) com os interessados para apresentação pelos entes do sistema das propostas atualizadas, para esclarecimentos e debates;</w:t>
      </w:r>
    </w:p>
    <w:p w14:paraId="7499403F"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Análise pela ANA e DAEE das propostas recebidas e das contribuições das reuniões técnicas públicas e realização de reunião com os entes envolvidos (Comitês, Sabesp e IGAM) para apresentação de proposta-guia preliminar e coleta de contribuições;</w:t>
      </w:r>
    </w:p>
    <w:p w14:paraId="36429FDB"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Divulgação da proposta-guia e minuta de resolução;</w:t>
      </w:r>
    </w:p>
    <w:p w14:paraId="34FB6ED9"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lastRenderedPageBreak/>
        <w:t xml:space="preserve"> Realização de duas audiências públicas para discussão dos termos da proposta-guia e da minuta de resolução. Foram realizadas em São Paulo, no dia 09-mar-2017 e Campinas, no dia 10-mar-2017;</w:t>
      </w:r>
    </w:p>
    <w:p w14:paraId="2CD84FF4"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Apreciação, pela ANA e DAEE, de contribuições das audiências públicas e elaboração da proposta-guia e da minuta de resolução ajustadas;</w:t>
      </w:r>
    </w:p>
    <w:p w14:paraId="0180044F"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Reunião com os entes interessados (Comitês, Sabesp e IGAM) para eventuais ajustes adicionais na minuta de resolução; e</w:t>
      </w:r>
    </w:p>
    <w:p w14:paraId="2731F4D0" w14:textId="77777777" w:rsidR="00C06696" w:rsidRPr="00C71115" w:rsidRDefault="00C06696" w:rsidP="00C71115">
      <w:pPr>
        <w:tabs>
          <w:tab w:val="left" w:pos="113"/>
          <w:tab w:val="left" w:pos="284"/>
        </w:tabs>
        <w:spacing w:after="240" w:line="240" w:lineRule="auto"/>
        <w:ind w:left="533" w:hanging="170"/>
        <w:jc w:val="both"/>
        <w:rPr>
          <w:rFonts w:eastAsia="MS Mincho" w:cs="Times New Roman"/>
          <w:sz w:val="28"/>
          <w:szCs w:val="28"/>
          <w:lang w:eastAsia="en-US"/>
        </w:rPr>
      </w:pPr>
      <w:r w:rsidRPr="00C71115">
        <w:rPr>
          <w:rFonts w:eastAsia="MS Mincho" w:cs="Times New Roman"/>
          <w:sz w:val="28"/>
          <w:szCs w:val="28"/>
          <w:lang w:eastAsia="en-US"/>
        </w:rPr>
        <w:t xml:space="preserve"> Publicação da renovação da outorga, até 31/05/2017.</w:t>
      </w:r>
    </w:p>
    <w:p w14:paraId="42898630" w14:textId="77777777" w:rsidR="00C06696" w:rsidRPr="00C71115" w:rsidRDefault="00C06696" w:rsidP="00C71115">
      <w:pPr>
        <w:spacing w:after="240" w:line="240" w:lineRule="auto"/>
        <w:jc w:val="both"/>
        <w:rPr>
          <w:rFonts w:eastAsia="Times New Roman" w:cs="Times New Roman"/>
          <w:sz w:val="28"/>
          <w:szCs w:val="28"/>
        </w:rPr>
      </w:pPr>
      <w:r w:rsidRPr="00C71115">
        <w:rPr>
          <w:rFonts w:eastAsia="Times New Roman" w:cs="Times New Roman"/>
          <w:sz w:val="28"/>
          <w:szCs w:val="28"/>
        </w:rPr>
        <w:t>Na ocasião, o CBH-AT, por meio da Deliberação CBH-AT n° 26 de 28 de junho de 2016 (que aprova a manifestação sobre a renovação da outorga do Sistema Cantareira em 2016), encaminhou a sua proposta à ANA e DAEE.</w:t>
      </w:r>
    </w:p>
    <w:p w14:paraId="30EDAE60"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Cumpridas todas as etapas programadas, finalmente, por meio da Resolução Conjunta ANA/DAEE n</w:t>
      </w:r>
      <w:r w:rsidRPr="00C71115">
        <w:rPr>
          <w:rFonts w:eastAsia="MS Mincho" w:cs="Times New Roman"/>
          <w:sz w:val="28"/>
          <w:szCs w:val="28"/>
          <w:vertAlign w:val="superscript"/>
        </w:rPr>
        <w:t>os</w:t>
      </w:r>
      <w:r w:rsidRPr="00C71115">
        <w:rPr>
          <w:rFonts w:eastAsia="MS Mincho" w:cs="Times New Roman"/>
          <w:sz w:val="28"/>
          <w:szCs w:val="28"/>
        </w:rPr>
        <w:t xml:space="preserve"> 925 e 926 de 29 de maio de 2017 publicadas no Diário Oficial da União de 30 de maio de 2017, o Sistema Cantareira teve a sua outorga renovada por mais 10 anos, ou seja, até 30 de maio de 2027. Destaque-se que em 2017, diferentemente de 2004, o ato de outorga foi desmembrado em dois documentos. </w:t>
      </w:r>
    </w:p>
    <w:p w14:paraId="29476D3F"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Assim, a Resolução Conjunta ANA/DAEE n</w:t>
      </w:r>
      <w:r w:rsidRPr="00C71115">
        <w:rPr>
          <w:rFonts w:eastAsia="MS Mincho" w:cs="Times New Roman"/>
          <w:sz w:val="28"/>
          <w:szCs w:val="28"/>
          <w:vertAlign w:val="superscript"/>
        </w:rPr>
        <w:t>o</w:t>
      </w:r>
      <w:r w:rsidRPr="00C71115">
        <w:rPr>
          <w:rFonts w:eastAsia="MS Mincho" w:cs="Times New Roman"/>
          <w:sz w:val="28"/>
          <w:szCs w:val="28"/>
        </w:rPr>
        <w:t xml:space="preserve"> 925 dispõe sobre as </w:t>
      </w:r>
      <w:r w:rsidRPr="00C71115">
        <w:rPr>
          <w:rFonts w:eastAsia="MS Mincho" w:cs="Times New Roman"/>
          <w:b/>
          <w:sz w:val="28"/>
          <w:szCs w:val="28"/>
        </w:rPr>
        <w:t>condições de operação</w:t>
      </w:r>
      <w:r w:rsidRPr="00C71115">
        <w:rPr>
          <w:rFonts w:eastAsia="MS Mincho" w:cs="Times New Roman"/>
          <w:sz w:val="28"/>
          <w:szCs w:val="28"/>
        </w:rPr>
        <w:t xml:space="preserve"> para o Sistema Cantareira compreendendo a utilização do conjunto dos reservatórios </w:t>
      </w:r>
      <w:proofErr w:type="spellStart"/>
      <w:r w:rsidRPr="00C71115">
        <w:rPr>
          <w:rFonts w:eastAsia="MS Mincho" w:cs="Times New Roman"/>
          <w:sz w:val="28"/>
          <w:szCs w:val="28"/>
        </w:rPr>
        <w:t>Jaguari</w:t>
      </w:r>
      <w:proofErr w:type="spellEnd"/>
      <w:r w:rsidRPr="00C71115">
        <w:rPr>
          <w:rFonts w:eastAsia="MS Mincho" w:cs="Times New Roman"/>
          <w:sz w:val="28"/>
          <w:szCs w:val="28"/>
        </w:rPr>
        <w:t xml:space="preserve">-Jacareí, </w:t>
      </w:r>
      <w:proofErr w:type="gramStart"/>
      <w:r w:rsidRPr="00C71115">
        <w:rPr>
          <w:rFonts w:eastAsia="MS Mincho" w:cs="Times New Roman"/>
          <w:sz w:val="28"/>
          <w:szCs w:val="28"/>
        </w:rPr>
        <w:t>Cachoeira, Atibainha e Paiva Castro</w:t>
      </w:r>
      <w:proofErr w:type="gramEnd"/>
      <w:r w:rsidRPr="00C71115">
        <w:rPr>
          <w:rFonts w:eastAsia="MS Mincho" w:cs="Times New Roman"/>
          <w:sz w:val="28"/>
          <w:szCs w:val="28"/>
        </w:rPr>
        <w:t xml:space="preserve">. </w:t>
      </w:r>
    </w:p>
    <w:p w14:paraId="3436D19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E, a Resolução Conjunta ANA/DAEE n</w:t>
      </w:r>
      <w:r w:rsidRPr="00C71115">
        <w:rPr>
          <w:rFonts w:eastAsia="MS Mincho" w:cs="Times New Roman"/>
          <w:sz w:val="28"/>
          <w:szCs w:val="28"/>
          <w:vertAlign w:val="superscript"/>
        </w:rPr>
        <w:t>o</w:t>
      </w:r>
      <w:r w:rsidRPr="00C71115">
        <w:rPr>
          <w:rFonts w:eastAsia="MS Mincho" w:cs="Times New Roman"/>
          <w:sz w:val="28"/>
          <w:szCs w:val="28"/>
        </w:rPr>
        <w:t xml:space="preserve"> 926 trata das questões mais relacionadas com a outorga propriamente dita constando, nos seus artigos 6 a 13, os produtos que a SABESP deverá encaminhar aos órgãos gestores e os prazos respectivos. Nessa Resolução Conjunta consta que dentre esses produtos, os referidos nos artigos 6, 11 e 12 devem ser submetidos à apreciação dos CBH-AT e CBH-PCJ.</w:t>
      </w:r>
    </w:p>
    <w:p w14:paraId="3613878A"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CBH-AT recebeu, recentemente, o ofício ANA/DAEE 4/2017/AA datado de 06-dez-2017, que contém – como anexo – dois desses produtos elaborados pela SABESP. No ofício a ANA/DAEE informa que os mesmos foram recebidos em 29 de novembro de 2017 e solicita ao CBH-AT as devidas considerações de forma a subsidiar os órgãos gestores na avaliação desses produtos.</w:t>
      </w:r>
    </w:p>
    <w:p w14:paraId="26439260"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Os produtos apresentados pela SABESP possuem os seguintes títulos:</w:t>
      </w:r>
    </w:p>
    <w:p w14:paraId="09532D2B" w14:textId="77777777" w:rsidR="00C06696" w:rsidRPr="00C71115" w:rsidRDefault="00C06696" w:rsidP="00C71115">
      <w:pPr>
        <w:numPr>
          <w:ilvl w:val="0"/>
          <w:numId w:val="39"/>
        </w:numPr>
        <w:spacing w:after="240" w:line="240" w:lineRule="auto"/>
        <w:ind w:left="527" w:hanging="170"/>
        <w:jc w:val="both"/>
        <w:rPr>
          <w:rFonts w:eastAsia="MS Mincho" w:cs="Times New Roman"/>
          <w:sz w:val="28"/>
          <w:szCs w:val="28"/>
        </w:rPr>
      </w:pPr>
      <w:r w:rsidRPr="00C71115">
        <w:rPr>
          <w:rFonts w:eastAsia="MS Mincho" w:cs="Times New Roman"/>
          <w:sz w:val="28"/>
          <w:szCs w:val="28"/>
        </w:rPr>
        <w:t xml:space="preserve"> Atendimento ao artigo 6º da Resolução Conjunta ANA/DAEE nº 926 de 29/05/17, com 187 páginas e data de outubro/2017.</w:t>
      </w:r>
    </w:p>
    <w:p w14:paraId="56F87840" w14:textId="77777777" w:rsidR="00C06696" w:rsidRPr="00C71115" w:rsidRDefault="00C06696" w:rsidP="00C71115">
      <w:pPr>
        <w:numPr>
          <w:ilvl w:val="0"/>
          <w:numId w:val="39"/>
        </w:numPr>
        <w:spacing w:after="240" w:line="240" w:lineRule="auto"/>
        <w:ind w:left="527" w:hanging="170"/>
        <w:jc w:val="both"/>
        <w:rPr>
          <w:rFonts w:eastAsia="MS Mincho" w:cs="Times New Roman"/>
          <w:sz w:val="28"/>
          <w:szCs w:val="28"/>
        </w:rPr>
      </w:pPr>
      <w:r w:rsidRPr="00C71115">
        <w:rPr>
          <w:rFonts w:eastAsia="MS Mincho" w:cs="Times New Roman"/>
          <w:sz w:val="28"/>
          <w:szCs w:val="28"/>
        </w:rPr>
        <w:lastRenderedPageBreak/>
        <w:t xml:space="preserve"> Atendimento ao artigo 12º da Resolução Conjunta ANA/DAEE nº 926 de 29/05/17, com 37 páginas e data de outubro/2017.</w:t>
      </w:r>
    </w:p>
    <w:p w14:paraId="5F8063EE" w14:textId="77777777" w:rsidR="00286C84" w:rsidRDefault="00C06696" w:rsidP="00286C84">
      <w:pPr>
        <w:spacing w:after="240" w:line="240" w:lineRule="auto"/>
        <w:jc w:val="both"/>
        <w:rPr>
          <w:rFonts w:eastAsia="MS Mincho" w:cs="Times New Roman"/>
          <w:sz w:val="28"/>
          <w:szCs w:val="28"/>
        </w:rPr>
      </w:pPr>
      <w:r w:rsidRPr="00C71115">
        <w:rPr>
          <w:rFonts w:eastAsia="MS Mincho" w:cs="Times New Roman"/>
          <w:sz w:val="28"/>
          <w:szCs w:val="28"/>
        </w:rPr>
        <w:t>O presente relatório contém a apreciação desses dois produtos pelo GT Outorga do Sistema Cantareira, em 28 de fevereiro de 2018 e pela CTPA - Câmara Técnica de Planejamento e Articulação em 04 de julh</w:t>
      </w:r>
      <w:bookmarkStart w:id="2" w:name="_GoBack"/>
      <w:bookmarkEnd w:id="2"/>
      <w:r w:rsidRPr="00C71115">
        <w:rPr>
          <w:rFonts w:eastAsia="MS Mincho" w:cs="Times New Roman"/>
          <w:sz w:val="28"/>
          <w:szCs w:val="28"/>
        </w:rPr>
        <w:t>o de 2018.</w:t>
      </w:r>
      <w:bookmarkStart w:id="3" w:name="_Toc507688637"/>
      <w:bookmarkStart w:id="4" w:name="_Toc519069548"/>
      <w:bookmarkStart w:id="5" w:name="_Toc424810047"/>
    </w:p>
    <w:p w14:paraId="44E5CA46" w14:textId="5B8694ED" w:rsidR="00C06696" w:rsidRPr="00C71115" w:rsidRDefault="00C06696" w:rsidP="00286C84">
      <w:pPr>
        <w:spacing w:after="240" w:line="240" w:lineRule="auto"/>
        <w:jc w:val="both"/>
        <w:rPr>
          <w:rFonts w:eastAsia="Times New Roman" w:cs="Times New Roman"/>
          <w:b/>
          <w:bCs/>
          <w:kern w:val="32"/>
          <w:sz w:val="28"/>
          <w:szCs w:val="28"/>
        </w:rPr>
      </w:pPr>
      <w:r w:rsidRPr="00C71115">
        <w:rPr>
          <w:rFonts w:eastAsia="Times New Roman" w:cs="Times New Roman"/>
          <w:b/>
          <w:bCs/>
          <w:kern w:val="32"/>
          <w:sz w:val="28"/>
          <w:szCs w:val="28"/>
        </w:rPr>
        <w:t>2. Apreciação sobre o relatório da SABESP em atendimento ao artigo 6</w:t>
      </w:r>
      <w:bookmarkEnd w:id="3"/>
      <w:r w:rsidRPr="00C71115">
        <w:rPr>
          <w:rFonts w:eastAsia="Times New Roman" w:cs="Times New Roman"/>
          <w:b/>
          <w:bCs/>
          <w:kern w:val="32"/>
          <w:sz w:val="28"/>
          <w:szCs w:val="28"/>
        </w:rPr>
        <w:t>º</w:t>
      </w:r>
      <w:bookmarkEnd w:id="4"/>
    </w:p>
    <w:p w14:paraId="3E8DB154"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6" w:name="_Toc519069549"/>
      <w:r w:rsidRPr="00C71115">
        <w:rPr>
          <w:rFonts w:eastAsia="Times New Roman" w:cs="Times New Roman"/>
          <w:b/>
          <w:bCs/>
          <w:iCs/>
          <w:sz w:val="28"/>
          <w:szCs w:val="28"/>
        </w:rPr>
        <w:t>2.1. Introdução</w:t>
      </w:r>
      <w:bookmarkEnd w:id="6"/>
    </w:p>
    <w:p w14:paraId="5CD8AB72" w14:textId="77777777" w:rsidR="00C06696" w:rsidRPr="00C71115" w:rsidRDefault="00C06696" w:rsidP="00C71115">
      <w:pPr>
        <w:autoSpaceDE w:val="0"/>
        <w:autoSpaceDN w:val="0"/>
        <w:adjustRightInd w:val="0"/>
        <w:spacing w:after="120" w:line="240" w:lineRule="auto"/>
        <w:jc w:val="both"/>
        <w:rPr>
          <w:rFonts w:eastAsia="MS Mincho" w:cs="Times New Roman"/>
          <w:bCs/>
          <w:sz w:val="28"/>
          <w:szCs w:val="28"/>
        </w:rPr>
      </w:pPr>
      <w:r w:rsidRPr="00C71115">
        <w:rPr>
          <w:rFonts w:eastAsia="MS Mincho" w:cs="Times New Roman"/>
          <w:bCs/>
          <w:sz w:val="28"/>
          <w:szCs w:val="28"/>
        </w:rPr>
        <w:t>O art. 6º da Resolução Conjunta ANA/DAEE nº 926 de 29/05/17 diz:</w:t>
      </w:r>
    </w:p>
    <w:p w14:paraId="7F361CA3" w14:textId="77777777" w:rsidR="00C06696" w:rsidRPr="00C71115" w:rsidRDefault="00C06696" w:rsidP="00C71115">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120" w:line="240" w:lineRule="auto"/>
        <w:ind w:left="567"/>
        <w:jc w:val="both"/>
        <w:rPr>
          <w:rFonts w:eastAsia="MS Mincho" w:cs="Times New Roman"/>
          <w:bCs/>
          <w:sz w:val="28"/>
          <w:szCs w:val="28"/>
        </w:rPr>
      </w:pPr>
      <w:r w:rsidRPr="00C71115">
        <w:rPr>
          <w:rFonts w:eastAsia="MS Mincho" w:cs="Times New Roman"/>
          <w:bCs/>
          <w:sz w:val="28"/>
          <w:szCs w:val="28"/>
        </w:rPr>
        <w:t>Art. 6º - A SABESP deverá apresentar, no prazo de até 6 (seis) meses, para aprovação da ANA e do DAEE, ouvidos os comitês PCJ e CBH-AT, plano de ampliação e modernização da rede de postos de monitoramento de chuva e vazão nas bacias de contribuição do Sistema Cantareira, em conformidade com o Plano Diretor da Bacia do PJ1 e o Plano das Bacias PCJ.</w:t>
      </w:r>
    </w:p>
    <w:p w14:paraId="59F58C74" w14:textId="77777777" w:rsidR="00C06696" w:rsidRPr="00C71115" w:rsidRDefault="00C06696" w:rsidP="00C71115">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120" w:line="240" w:lineRule="auto"/>
        <w:ind w:left="907" w:hanging="340"/>
        <w:jc w:val="both"/>
        <w:rPr>
          <w:rFonts w:eastAsia="MS Mincho" w:cs="Times New Roman"/>
          <w:bCs/>
          <w:sz w:val="28"/>
          <w:szCs w:val="28"/>
        </w:rPr>
      </w:pPr>
      <w:r w:rsidRPr="00C71115">
        <w:rPr>
          <w:rFonts w:eastAsia="MS Mincho" w:cs="Times New Roman"/>
          <w:bCs/>
          <w:sz w:val="28"/>
          <w:szCs w:val="28"/>
        </w:rPr>
        <w:t>§1</w:t>
      </w:r>
      <w:r w:rsidRPr="00C71115">
        <w:rPr>
          <w:rFonts w:eastAsia="MS Mincho" w:cs="Times New Roman"/>
          <w:bCs/>
          <w:sz w:val="28"/>
          <w:szCs w:val="28"/>
          <w:vertAlign w:val="superscript"/>
        </w:rPr>
        <w:t>o</w:t>
      </w:r>
      <w:r w:rsidRPr="00C71115">
        <w:rPr>
          <w:rFonts w:eastAsia="MS Mincho" w:cs="Times New Roman"/>
          <w:bCs/>
          <w:sz w:val="28"/>
          <w:szCs w:val="28"/>
        </w:rPr>
        <w:t xml:space="preserve"> - A instalação, manutenção, operação e segurança da rede de postos de monitoramento referida no caput serão de responsabilidade da SABESP, que deverá disponibilizar as informações e dados coletados em tempo real, para acesso público, para as salas de situação do DAEE e dos Comitês PCJ e CBH-AT, bem como inseri-los no Sistema Nacional de Informações sobre Recursos Hídricos, gerido pela ANA.</w:t>
      </w:r>
    </w:p>
    <w:p w14:paraId="3C1A2611" w14:textId="77777777" w:rsidR="00C06696" w:rsidRPr="00C71115" w:rsidRDefault="00C06696" w:rsidP="00C71115">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120" w:line="240" w:lineRule="auto"/>
        <w:ind w:left="907" w:hanging="340"/>
        <w:jc w:val="both"/>
        <w:rPr>
          <w:rFonts w:eastAsia="MS Mincho" w:cs="Times New Roman"/>
          <w:bCs/>
          <w:sz w:val="28"/>
          <w:szCs w:val="28"/>
        </w:rPr>
      </w:pPr>
      <w:r w:rsidRPr="00C71115">
        <w:rPr>
          <w:rFonts w:eastAsia="MS Mincho" w:cs="Times New Roman"/>
          <w:bCs/>
          <w:sz w:val="28"/>
          <w:szCs w:val="28"/>
        </w:rPr>
        <w:t>§2</w:t>
      </w:r>
      <w:r w:rsidRPr="00C71115">
        <w:rPr>
          <w:rFonts w:eastAsia="MS Mincho" w:cs="Times New Roman"/>
          <w:bCs/>
          <w:sz w:val="28"/>
          <w:szCs w:val="28"/>
          <w:vertAlign w:val="superscript"/>
        </w:rPr>
        <w:t>o</w:t>
      </w:r>
      <w:r w:rsidRPr="00C71115">
        <w:rPr>
          <w:rFonts w:eastAsia="MS Mincho" w:cs="Times New Roman"/>
          <w:bCs/>
          <w:sz w:val="28"/>
          <w:szCs w:val="28"/>
        </w:rPr>
        <w:t xml:space="preserve"> - A SABESP terá o prazo de 12 (doze) meses, após aprovação da ANA e do DAEE, para implementação do plano referido no caput deste artigo, prorrogável mediante justificativa aprovada por ANA e DAEE.</w:t>
      </w:r>
    </w:p>
    <w:p w14:paraId="5233318B" w14:textId="77777777" w:rsidR="00C06696" w:rsidRPr="00C71115" w:rsidRDefault="00C06696" w:rsidP="00C71115">
      <w:pPr>
        <w:spacing w:after="120" w:line="240" w:lineRule="auto"/>
        <w:jc w:val="both"/>
        <w:rPr>
          <w:rFonts w:eastAsia="MS Mincho" w:cs="Times New Roman"/>
          <w:bCs/>
          <w:sz w:val="28"/>
          <w:szCs w:val="28"/>
        </w:rPr>
      </w:pPr>
    </w:p>
    <w:p w14:paraId="11007365"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7" w:name="_Toc519069550"/>
      <w:r w:rsidRPr="00C71115">
        <w:rPr>
          <w:rFonts w:eastAsia="Times New Roman" w:cs="Times New Roman"/>
          <w:b/>
          <w:bCs/>
          <w:iCs/>
          <w:sz w:val="28"/>
          <w:szCs w:val="28"/>
        </w:rPr>
        <w:t>2.2. Síntese dos principais tópicos do relatório da SABESP (artigo 6)</w:t>
      </w:r>
      <w:bookmarkEnd w:id="7"/>
    </w:p>
    <w:p w14:paraId="5957B19F"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relatório da SABESP informa que desde 2004 a sua rede telemétrica esteve em contínua evolução conforme ilustrado na figura a seguir.</w:t>
      </w:r>
    </w:p>
    <w:tbl>
      <w:tblPr>
        <w:tblW w:w="0" w:type="auto"/>
        <w:tblLook w:val="04A0" w:firstRow="1" w:lastRow="0" w:firstColumn="1" w:lastColumn="0" w:noHBand="0" w:noVBand="1"/>
      </w:tblPr>
      <w:tblGrid>
        <w:gridCol w:w="9496"/>
      </w:tblGrid>
      <w:tr w:rsidR="00C06696" w:rsidRPr="00C71115" w14:paraId="5DD39EC9" w14:textId="77777777" w:rsidTr="00C06696">
        <w:tc>
          <w:tcPr>
            <w:tcW w:w="9699" w:type="dxa"/>
            <w:shd w:val="clear" w:color="auto" w:fill="auto"/>
          </w:tcPr>
          <w:p w14:paraId="144608FD" w14:textId="16064839" w:rsidR="00C06696" w:rsidRPr="00C71115" w:rsidRDefault="00C06696" w:rsidP="00C71115">
            <w:pPr>
              <w:spacing w:after="120" w:line="240" w:lineRule="auto"/>
              <w:jc w:val="both"/>
              <w:rPr>
                <w:rFonts w:eastAsia="MS Mincho" w:cs="Times New Roman"/>
                <w:bCs/>
                <w:color w:val="0070C0"/>
                <w:sz w:val="28"/>
                <w:szCs w:val="28"/>
              </w:rPr>
            </w:pPr>
            <w:r w:rsidRPr="00C71115">
              <w:rPr>
                <w:rFonts w:eastAsia="MS Mincho" w:cs="Times New Roman"/>
                <w:bCs/>
                <w:noProof/>
                <w:color w:val="0070C0"/>
                <w:sz w:val="28"/>
                <w:szCs w:val="28"/>
              </w:rPr>
              <w:lastRenderedPageBreak/>
              <w:drawing>
                <wp:inline distT="0" distB="0" distL="0" distR="0" wp14:anchorId="50EA57B0" wp14:editId="2D830291">
                  <wp:extent cx="5200650" cy="3276600"/>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8382" b="1950"/>
                          <a:stretch>
                            <a:fillRect/>
                          </a:stretch>
                        </pic:blipFill>
                        <pic:spPr bwMode="auto">
                          <a:xfrm>
                            <a:off x="0" y="0"/>
                            <a:ext cx="5200650" cy="3276600"/>
                          </a:xfrm>
                          <a:prstGeom prst="rect">
                            <a:avLst/>
                          </a:prstGeom>
                          <a:noFill/>
                          <a:ln>
                            <a:noFill/>
                          </a:ln>
                        </pic:spPr>
                      </pic:pic>
                    </a:graphicData>
                  </a:graphic>
                </wp:inline>
              </w:drawing>
            </w:r>
          </w:p>
        </w:tc>
      </w:tr>
      <w:tr w:rsidR="00C06696" w:rsidRPr="00C71115" w14:paraId="257D978B" w14:textId="77777777" w:rsidTr="00C06696">
        <w:tc>
          <w:tcPr>
            <w:tcW w:w="9699" w:type="dxa"/>
            <w:shd w:val="clear" w:color="auto" w:fill="auto"/>
          </w:tcPr>
          <w:p w14:paraId="1A7F6CCC" w14:textId="77777777" w:rsidR="00C06696" w:rsidRPr="00C71115" w:rsidRDefault="00C06696" w:rsidP="00C71115">
            <w:pPr>
              <w:spacing w:after="120" w:line="240" w:lineRule="auto"/>
              <w:jc w:val="both"/>
              <w:rPr>
                <w:rFonts w:eastAsia="MS Mincho" w:cs="Times New Roman"/>
                <w:bCs/>
                <w:sz w:val="28"/>
                <w:szCs w:val="28"/>
              </w:rPr>
            </w:pPr>
            <w:r w:rsidRPr="00C71115">
              <w:rPr>
                <w:rFonts w:eastAsia="MS Mincho" w:cs="Times New Roman"/>
                <w:bCs/>
                <w:sz w:val="28"/>
                <w:szCs w:val="28"/>
              </w:rPr>
              <w:t xml:space="preserve">Fonte: Relatório anexo ao oficio ANA/DAEE 4/2017/AA, de 06-dez-2017, arquivo de título </w:t>
            </w:r>
            <w:proofErr w:type="spellStart"/>
            <w:r w:rsidRPr="00C71115">
              <w:rPr>
                <w:rFonts w:eastAsia="MS Mincho" w:cs="Times New Roman"/>
                <w:bCs/>
                <w:i/>
                <w:sz w:val="28"/>
                <w:szCs w:val="28"/>
              </w:rPr>
              <w:t>Of</w:t>
            </w:r>
            <w:proofErr w:type="spellEnd"/>
            <w:r w:rsidRPr="00C71115">
              <w:rPr>
                <w:rFonts w:eastAsia="MS Mincho" w:cs="Times New Roman"/>
                <w:bCs/>
                <w:i/>
                <w:sz w:val="28"/>
                <w:szCs w:val="28"/>
              </w:rPr>
              <w:t xml:space="preserve"> Conj. ANA DAEE 04.2017 - Encaminha Plano de Adaptação das infraestruturas feito pela SABESP.PDF</w:t>
            </w:r>
            <w:r w:rsidRPr="00C71115">
              <w:rPr>
                <w:rFonts w:eastAsia="MS Mincho" w:cs="Times New Roman"/>
                <w:bCs/>
                <w:sz w:val="28"/>
                <w:szCs w:val="28"/>
              </w:rPr>
              <w:t>, Gráfico 2, pág. 19</w:t>
            </w:r>
            <w:r w:rsidRPr="00C71115">
              <w:rPr>
                <w:rFonts w:eastAsia="MS Mincho" w:cs="Times New Roman"/>
                <w:sz w:val="28"/>
                <w:szCs w:val="28"/>
                <w:lang w:eastAsia="en-US"/>
              </w:rPr>
              <w:t xml:space="preserve"> </w:t>
            </w:r>
            <w:r w:rsidRPr="00C71115">
              <w:rPr>
                <w:rFonts w:eastAsia="MS Mincho" w:cs="Times New Roman"/>
                <w:bCs/>
                <w:sz w:val="28"/>
                <w:szCs w:val="28"/>
              </w:rPr>
              <w:t>ou folha 21 do arquivo em PDF</w:t>
            </w:r>
          </w:p>
        </w:tc>
      </w:tr>
    </w:tbl>
    <w:p w14:paraId="5E2B6345" w14:textId="77777777" w:rsidR="00C06696" w:rsidRPr="00C71115" w:rsidRDefault="00C06696" w:rsidP="00C71115">
      <w:pPr>
        <w:spacing w:after="240" w:line="240" w:lineRule="auto"/>
        <w:jc w:val="both"/>
        <w:rPr>
          <w:rFonts w:eastAsia="MS Mincho" w:cs="Times New Roman"/>
          <w:sz w:val="28"/>
          <w:szCs w:val="28"/>
        </w:rPr>
      </w:pPr>
    </w:p>
    <w:p w14:paraId="418C3B9D"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Totalizam, hoje, 16 estações telemétricas instaladas desde 2004 sendo que a bacia hidrográfica mais monitorada é a de Paiva Castro. </w:t>
      </w:r>
    </w:p>
    <w:tbl>
      <w:tblPr>
        <w:tblW w:w="0" w:type="auto"/>
        <w:tblLook w:val="04A0" w:firstRow="1" w:lastRow="0" w:firstColumn="1" w:lastColumn="0" w:noHBand="0" w:noVBand="1"/>
      </w:tblPr>
      <w:tblGrid>
        <w:gridCol w:w="9496"/>
      </w:tblGrid>
      <w:tr w:rsidR="00C06696" w:rsidRPr="00C71115" w14:paraId="5EC4F346" w14:textId="77777777" w:rsidTr="00C06696">
        <w:tc>
          <w:tcPr>
            <w:tcW w:w="9639" w:type="dxa"/>
            <w:shd w:val="clear" w:color="auto" w:fill="auto"/>
          </w:tcPr>
          <w:p w14:paraId="3BD7BEF1" w14:textId="0305A112" w:rsidR="00C06696" w:rsidRPr="00C71115" w:rsidRDefault="00C06696" w:rsidP="00C71115">
            <w:pPr>
              <w:spacing w:after="120" w:line="240" w:lineRule="auto"/>
              <w:jc w:val="both"/>
              <w:rPr>
                <w:rFonts w:eastAsia="MS Mincho" w:cs="Times New Roman"/>
                <w:bCs/>
                <w:color w:val="0070C0"/>
                <w:sz w:val="28"/>
                <w:szCs w:val="28"/>
              </w:rPr>
            </w:pPr>
            <w:r w:rsidRPr="00C71115">
              <w:rPr>
                <w:rFonts w:eastAsia="MS Mincho" w:cs="Times New Roman"/>
                <w:bCs/>
                <w:noProof/>
                <w:color w:val="0070C0"/>
                <w:sz w:val="28"/>
                <w:szCs w:val="28"/>
              </w:rPr>
              <w:drawing>
                <wp:inline distT="0" distB="0" distL="0" distR="0" wp14:anchorId="2DAC955A" wp14:editId="6ACAD977">
                  <wp:extent cx="2527935" cy="5215255"/>
                  <wp:effectExtent l="8890" t="0" r="0"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3358" b="1129"/>
                          <a:stretch>
                            <a:fillRect/>
                          </a:stretch>
                        </pic:blipFill>
                        <pic:spPr bwMode="auto">
                          <a:xfrm rot="5400000">
                            <a:off x="0" y="0"/>
                            <a:ext cx="2527935" cy="5215255"/>
                          </a:xfrm>
                          <a:prstGeom prst="rect">
                            <a:avLst/>
                          </a:prstGeom>
                          <a:noFill/>
                          <a:ln>
                            <a:noFill/>
                          </a:ln>
                        </pic:spPr>
                      </pic:pic>
                    </a:graphicData>
                  </a:graphic>
                </wp:inline>
              </w:drawing>
            </w:r>
          </w:p>
        </w:tc>
      </w:tr>
      <w:tr w:rsidR="00C06696" w:rsidRPr="00C71115" w14:paraId="080C7D27" w14:textId="77777777" w:rsidTr="00C06696">
        <w:tc>
          <w:tcPr>
            <w:tcW w:w="9639" w:type="dxa"/>
            <w:shd w:val="clear" w:color="auto" w:fill="auto"/>
          </w:tcPr>
          <w:p w14:paraId="44B5A876" w14:textId="77777777" w:rsidR="00C06696" w:rsidRPr="00C71115" w:rsidRDefault="00C06696" w:rsidP="00C71115">
            <w:pPr>
              <w:spacing w:after="120" w:line="240" w:lineRule="auto"/>
              <w:jc w:val="both"/>
              <w:rPr>
                <w:rFonts w:eastAsia="MS Mincho" w:cs="Times New Roman"/>
                <w:bCs/>
                <w:sz w:val="28"/>
                <w:szCs w:val="28"/>
              </w:rPr>
            </w:pPr>
            <w:r w:rsidRPr="00C71115">
              <w:rPr>
                <w:rFonts w:eastAsia="MS Mincho" w:cs="Times New Roman"/>
                <w:bCs/>
                <w:sz w:val="28"/>
                <w:szCs w:val="28"/>
              </w:rPr>
              <w:t xml:space="preserve">Fonte: Relatório anexo ao oficio ANA/DAEE 4/2017/AA, de 06-dez-2017, arquivo de título </w:t>
            </w:r>
            <w:proofErr w:type="spellStart"/>
            <w:r w:rsidRPr="00C71115">
              <w:rPr>
                <w:rFonts w:eastAsia="MS Mincho" w:cs="Times New Roman"/>
                <w:bCs/>
                <w:i/>
                <w:sz w:val="28"/>
                <w:szCs w:val="28"/>
              </w:rPr>
              <w:t>Of</w:t>
            </w:r>
            <w:proofErr w:type="spellEnd"/>
            <w:r w:rsidRPr="00C71115">
              <w:rPr>
                <w:rFonts w:eastAsia="MS Mincho" w:cs="Times New Roman"/>
                <w:bCs/>
                <w:i/>
                <w:sz w:val="28"/>
                <w:szCs w:val="28"/>
              </w:rPr>
              <w:t xml:space="preserve"> Conj. ANA DAEE 04.2017 - Encaminha Plano de Adaptação das infraestruturas feito pela SABESP.PDF</w:t>
            </w:r>
            <w:r w:rsidRPr="00C71115">
              <w:rPr>
                <w:rFonts w:eastAsia="MS Mincho" w:cs="Times New Roman"/>
                <w:bCs/>
                <w:sz w:val="28"/>
                <w:szCs w:val="28"/>
              </w:rPr>
              <w:t>, pág. 23</w:t>
            </w:r>
            <w:r w:rsidRPr="00C71115">
              <w:rPr>
                <w:rFonts w:eastAsia="MS Mincho" w:cs="Times New Roman"/>
                <w:sz w:val="28"/>
                <w:szCs w:val="28"/>
                <w:lang w:eastAsia="en-US"/>
              </w:rPr>
              <w:t xml:space="preserve"> </w:t>
            </w:r>
            <w:r w:rsidRPr="00C71115">
              <w:rPr>
                <w:rFonts w:eastAsia="MS Mincho" w:cs="Times New Roman"/>
                <w:bCs/>
                <w:sz w:val="28"/>
                <w:szCs w:val="28"/>
              </w:rPr>
              <w:t>ou folha 25 do arquivo em PDF</w:t>
            </w:r>
          </w:p>
        </w:tc>
      </w:tr>
    </w:tbl>
    <w:p w14:paraId="00C8D687"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lastRenderedPageBreak/>
        <w:t xml:space="preserve">Os custos de investimentos são relativamente </w:t>
      </w:r>
      <w:proofErr w:type="gramStart"/>
      <w:r w:rsidRPr="00C71115">
        <w:rPr>
          <w:rFonts w:eastAsia="MS Mincho" w:cs="Times New Roman"/>
          <w:sz w:val="28"/>
          <w:szCs w:val="28"/>
        </w:rPr>
        <w:t>baixos</w:t>
      </w:r>
      <w:proofErr w:type="gramEnd"/>
      <w:r w:rsidRPr="00C71115">
        <w:rPr>
          <w:rFonts w:eastAsia="MS Mincho" w:cs="Times New Roman"/>
          <w:sz w:val="28"/>
          <w:szCs w:val="28"/>
        </w:rPr>
        <w:t xml:space="preserve"> mas as despesas de manutenção são elevadas. O quadro a seguir resume o investimento da SABESP na instalação e reposição das estações telemétricas, no período de 2004 a 2017.</w:t>
      </w:r>
    </w:p>
    <w:tbl>
      <w:tblPr>
        <w:tblW w:w="0" w:type="auto"/>
        <w:tblLook w:val="04A0" w:firstRow="1" w:lastRow="0" w:firstColumn="1" w:lastColumn="0" w:noHBand="0" w:noVBand="1"/>
      </w:tblPr>
      <w:tblGrid>
        <w:gridCol w:w="9496"/>
      </w:tblGrid>
      <w:tr w:rsidR="00C06696" w:rsidRPr="00C71115" w14:paraId="67F3B229" w14:textId="77777777" w:rsidTr="00C06696">
        <w:tc>
          <w:tcPr>
            <w:tcW w:w="9699" w:type="dxa"/>
            <w:shd w:val="clear" w:color="auto" w:fill="auto"/>
          </w:tcPr>
          <w:p w14:paraId="33DAB237" w14:textId="23C2423B" w:rsidR="00C06696" w:rsidRPr="00C71115" w:rsidRDefault="00C06696" w:rsidP="00C71115">
            <w:pPr>
              <w:spacing w:after="120" w:line="240" w:lineRule="auto"/>
              <w:jc w:val="both"/>
              <w:rPr>
                <w:rFonts w:eastAsia="MS Mincho" w:cs="Times New Roman"/>
                <w:bCs/>
                <w:color w:val="0070C0"/>
                <w:sz w:val="28"/>
                <w:szCs w:val="28"/>
              </w:rPr>
            </w:pPr>
            <w:r w:rsidRPr="00C71115">
              <w:rPr>
                <w:rFonts w:eastAsia="MS Mincho" w:cs="Times New Roman"/>
                <w:bCs/>
                <w:noProof/>
                <w:color w:val="0070C0"/>
                <w:sz w:val="28"/>
                <w:szCs w:val="28"/>
              </w:rPr>
              <w:drawing>
                <wp:inline distT="0" distB="0" distL="0" distR="0" wp14:anchorId="417DC0E9" wp14:editId="34AB1E9D">
                  <wp:extent cx="5467350" cy="112395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18056" b="6482"/>
                          <a:stretch>
                            <a:fillRect/>
                          </a:stretch>
                        </pic:blipFill>
                        <pic:spPr bwMode="auto">
                          <a:xfrm>
                            <a:off x="0" y="0"/>
                            <a:ext cx="5467350" cy="1123950"/>
                          </a:xfrm>
                          <a:prstGeom prst="rect">
                            <a:avLst/>
                          </a:prstGeom>
                          <a:noFill/>
                          <a:ln>
                            <a:noFill/>
                          </a:ln>
                        </pic:spPr>
                      </pic:pic>
                    </a:graphicData>
                  </a:graphic>
                </wp:inline>
              </w:drawing>
            </w:r>
          </w:p>
        </w:tc>
      </w:tr>
      <w:tr w:rsidR="00C06696" w:rsidRPr="00C71115" w14:paraId="1A3A8DCC" w14:textId="77777777" w:rsidTr="00C06696">
        <w:tc>
          <w:tcPr>
            <w:tcW w:w="9699" w:type="dxa"/>
            <w:shd w:val="clear" w:color="auto" w:fill="auto"/>
          </w:tcPr>
          <w:p w14:paraId="0B06AD7F" w14:textId="77777777" w:rsidR="00C06696" w:rsidRPr="00C71115" w:rsidRDefault="00C06696" w:rsidP="00C71115">
            <w:pPr>
              <w:spacing w:after="120" w:line="240" w:lineRule="auto"/>
              <w:jc w:val="both"/>
              <w:rPr>
                <w:rFonts w:eastAsia="MS Mincho" w:cs="Times New Roman"/>
                <w:bCs/>
                <w:sz w:val="28"/>
                <w:szCs w:val="28"/>
              </w:rPr>
            </w:pPr>
            <w:r w:rsidRPr="00C71115">
              <w:rPr>
                <w:rFonts w:eastAsia="MS Mincho" w:cs="Times New Roman"/>
                <w:bCs/>
                <w:sz w:val="28"/>
                <w:szCs w:val="28"/>
              </w:rPr>
              <w:t xml:space="preserve">Fonte: Relatório anexo ao oficio ANA/DAEE 4/2017/AA, de 06-dez-2017, arquivo de título </w:t>
            </w:r>
            <w:proofErr w:type="spellStart"/>
            <w:r w:rsidRPr="00C71115">
              <w:rPr>
                <w:rFonts w:eastAsia="MS Mincho" w:cs="Times New Roman"/>
                <w:bCs/>
                <w:i/>
                <w:sz w:val="28"/>
                <w:szCs w:val="28"/>
              </w:rPr>
              <w:t>Of</w:t>
            </w:r>
            <w:proofErr w:type="spellEnd"/>
            <w:r w:rsidRPr="00C71115">
              <w:rPr>
                <w:rFonts w:eastAsia="MS Mincho" w:cs="Times New Roman"/>
                <w:bCs/>
                <w:i/>
                <w:sz w:val="28"/>
                <w:szCs w:val="28"/>
              </w:rPr>
              <w:t xml:space="preserve"> Conj. ANA DAEE 04.2017 - Encaminha Plano de Adaptação das infraestruturas feito pela SABESP.PDF</w:t>
            </w:r>
            <w:r w:rsidRPr="00C71115">
              <w:rPr>
                <w:rFonts w:eastAsia="MS Mincho" w:cs="Times New Roman"/>
                <w:bCs/>
                <w:sz w:val="28"/>
                <w:szCs w:val="28"/>
              </w:rPr>
              <w:t>, Tabela 2, pág. 19</w:t>
            </w:r>
            <w:r w:rsidRPr="00C71115">
              <w:rPr>
                <w:rFonts w:eastAsia="MS Mincho" w:cs="Times New Roman"/>
                <w:sz w:val="28"/>
                <w:szCs w:val="28"/>
                <w:lang w:eastAsia="en-US"/>
              </w:rPr>
              <w:t xml:space="preserve"> </w:t>
            </w:r>
            <w:r w:rsidRPr="00C71115">
              <w:rPr>
                <w:rFonts w:eastAsia="MS Mincho" w:cs="Times New Roman"/>
                <w:bCs/>
                <w:sz w:val="28"/>
                <w:szCs w:val="28"/>
              </w:rPr>
              <w:t>ou folha 21 do arquivo em PDF.</w:t>
            </w:r>
          </w:p>
        </w:tc>
      </w:tr>
    </w:tbl>
    <w:p w14:paraId="535E887A" w14:textId="77777777" w:rsidR="00C06696" w:rsidRPr="00C71115" w:rsidRDefault="00C06696" w:rsidP="00C71115">
      <w:pPr>
        <w:spacing w:after="120" w:line="240" w:lineRule="auto"/>
        <w:jc w:val="both"/>
        <w:rPr>
          <w:rFonts w:eastAsia="MS Mincho" w:cs="Times New Roman"/>
          <w:sz w:val="28"/>
          <w:szCs w:val="28"/>
        </w:rPr>
      </w:pPr>
    </w:p>
    <w:p w14:paraId="6CA68117"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Para que essas estações telemétricas estejam em pleno funcionamento, com um mínimo de falhas na coleta, armazenamento, transmissão dos dados e registro no servidor do Sistema de Suporte a Decisão – SSD, da SABESP, há necessidade de um trabalho contínuo de manutenção. Gasta-se em manutenção da rede de 16 postos, por mês, R$ 338.609,00 valor este próximo de tudo que se investiu desde 2004. Os valores mensais médios despendidos, por atividade, são apresentados no quadro a seguir.</w:t>
      </w:r>
    </w:p>
    <w:tbl>
      <w:tblPr>
        <w:tblW w:w="0" w:type="auto"/>
        <w:tblLook w:val="04A0" w:firstRow="1" w:lastRow="0" w:firstColumn="1" w:lastColumn="0" w:noHBand="0" w:noVBand="1"/>
      </w:tblPr>
      <w:tblGrid>
        <w:gridCol w:w="9496"/>
      </w:tblGrid>
      <w:tr w:rsidR="00C06696" w:rsidRPr="00C71115" w14:paraId="5AE63F5E" w14:textId="77777777" w:rsidTr="00C06696">
        <w:tc>
          <w:tcPr>
            <w:tcW w:w="9703" w:type="dxa"/>
            <w:shd w:val="clear" w:color="auto" w:fill="auto"/>
          </w:tcPr>
          <w:p w14:paraId="4AB34837" w14:textId="57E321CB" w:rsidR="00C06696" w:rsidRPr="00C71115" w:rsidRDefault="00C06696" w:rsidP="00C71115">
            <w:pPr>
              <w:spacing w:after="120" w:line="240" w:lineRule="auto"/>
              <w:jc w:val="both"/>
              <w:rPr>
                <w:rFonts w:eastAsia="MS Mincho" w:cs="Times New Roman"/>
                <w:bCs/>
                <w:color w:val="0070C0"/>
                <w:sz w:val="28"/>
                <w:szCs w:val="28"/>
              </w:rPr>
            </w:pPr>
            <w:r w:rsidRPr="00C71115">
              <w:rPr>
                <w:rFonts w:eastAsia="MS Mincho" w:cs="Times New Roman"/>
                <w:bCs/>
                <w:noProof/>
                <w:color w:val="0070C0"/>
                <w:sz w:val="28"/>
                <w:szCs w:val="28"/>
              </w:rPr>
              <w:drawing>
                <wp:inline distT="0" distB="0" distL="0" distR="0" wp14:anchorId="105E731A" wp14:editId="266A5246">
                  <wp:extent cx="4600575" cy="1600200"/>
                  <wp:effectExtent l="0" t="0" r="9525"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12538" b="3415"/>
                          <a:stretch>
                            <a:fillRect/>
                          </a:stretch>
                        </pic:blipFill>
                        <pic:spPr bwMode="auto">
                          <a:xfrm>
                            <a:off x="0" y="0"/>
                            <a:ext cx="4600575" cy="1600200"/>
                          </a:xfrm>
                          <a:prstGeom prst="rect">
                            <a:avLst/>
                          </a:prstGeom>
                          <a:noFill/>
                          <a:ln>
                            <a:noFill/>
                          </a:ln>
                        </pic:spPr>
                      </pic:pic>
                    </a:graphicData>
                  </a:graphic>
                </wp:inline>
              </w:drawing>
            </w:r>
          </w:p>
        </w:tc>
      </w:tr>
      <w:tr w:rsidR="00C06696" w:rsidRPr="00C71115" w14:paraId="53C23769" w14:textId="77777777" w:rsidTr="00C06696">
        <w:tc>
          <w:tcPr>
            <w:tcW w:w="9703" w:type="dxa"/>
            <w:shd w:val="clear" w:color="auto" w:fill="auto"/>
          </w:tcPr>
          <w:p w14:paraId="4E19EDBC" w14:textId="77777777" w:rsidR="00C06696" w:rsidRPr="00C71115" w:rsidRDefault="00C06696" w:rsidP="00C71115">
            <w:pPr>
              <w:spacing w:after="120" w:line="240" w:lineRule="auto"/>
              <w:jc w:val="both"/>
              <w:rPr>
                <w:rFonts w:eastAsia="MS Mincho" w:cs="Times New Roman"/>
                <w:bCs/>
                <w:sz w:val="28"/>
                <w:szCs w:val="28"/>
              </w:rPr>
            </w:pPr>
            <w:r w:rsidRPr="00C71115">
              <w:rPr>
                <w:rFonts w:eastAsia="MS Mincho" w:cs="Times New Roman"/>
                <w:bCs/>
                <w:sz w:val="28"/>
                <w:szCs w:val="28"/>
              </w:rPr>
              <w:t xml:space="preserve">Fonte: Relatório anexo ao oficio ANA/DAEE 4/2017/AA, de 06-dez-2017, arquivo de título </w:t>
            </w:r>
            <w:proofErr w:type="spellStart"/>
            <w:r w:rsidRPr="00C71115">
              <w:rPr>
                <w:rFonts w:eastAsia="MS Mincho" w:cs="Times New Roman"/>
                <w:bCs/>
                <w:i/>
                <w:sz w:val="28"/>
                <w:szCs w:val="28"/>
              </w:rPr>
              <w:t>Of</w:t>
            </w:r>
            <w:proofErr w:type="spellEnd"/>
            <w:r w:rsidRPr="00C71115">
              <w:rPr>
                <w:rFonts w:eastAsia="MS Mincho" w:cs="Times New Roman"/>
                <w:bCs/>
                <w:i/>
                <w:sz w:val="28"/>
                <w:szCs w:val="28"/>
              </w:rPr>
              <w:t xml:space="preserve"> Conj. ANA DAEE 04.2017 - Encaminha Plano de Adaptação das infraestruturas feito pela SABESP.PDF</w:t>
            </w:r>
            <w:r w:rsidRPr="00C71115">
              <w:rPr>
                <w:rFonts w:eastAsia="MS Mincho" w:cs="Times New Roman"/>
                <w:bCs/>
                <w:sz w:val="28"/>
                <w:szCs w:val="28"/>
              </w:rPr>
              <w:t>, Tabela 3, pág. 20</w:t>
            </w:r>
            <w:r w:rsidRPr="00C71115">
              <w:rPr>
                <w:rFonts w:eastAsia="MS Mincho" w:cs="Times New Roman"/>
                <w:sz w:val="28"/>
                <w:szCs w:val="28"/>
                <w:lang w:eastAsia="en-US"/>
              </w:rPr>
              <w:t xml:space="preserve"> </w:t>
            </w:r>
            <w:r w:rsidRPr="00C71115">
              <w:rPr>
                <w:rFonts w:eastAsia="MS Mincho" w:cs="Times New Roman"/>
                <w:bCs/>
                <w:sz w:val="28"/>
                <w:szCs w:val="28"/>
              </w:rPr>
              <w:t>ou folha 22 do arquivo em PDF.</w:t>
            </w:r>
          </w:p>
        </w:tc>
      </w:tr>
    </w:tbl>
    <w:p w14:paraId="5CD4A97C" w14:textId="77777777" w:rsidR="00C06696" w:rsidRPr="00C71115" w:rsidRDefault="00C06696" w:rsidP="00C71115">
      <w:pPr>
        <w:spacing w:after="240" w:line="240" w:lineRule="auto"/>
        <w:jc w:val="both"/>
        <w:rPr>
          <w:rFonts w:eastAsia="MS Mincho" w:cs="Times New Roman"/>
          <w:sz w:val="28"/>
          <w:szCs w:val="28"/>
        </w:rPr>
      </w:pPr>
    </w:p>
    <w:p w14:paraId="6576DAED"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Grande parte dessa despesa é com o pessoal de manutenção, da FCTH. Há que se ressaltar que não estão compreendidas despesas com pessoal, administrativas, segurança patrimonial, dentre outras, que são compartilhadas com outras </w:t>
      </w:r>
      <w:r w:rsidRPr="00C71115">
        <w:rPr>
          <w:rFonts w:eastAsia="MS Mincho" w:cs="Times New Roman"/>
          <w:sz w:val="28"/>
          <w:szCs w:val="28"/>
        </w:rPr>
        <w:lastRenderedPageBreak/>
        <w:t>atividades da SABESP. Há, por outro lado, os desafios para manter essa estrutura considerando alguns fatores adversos como furto e roubo, proteção e sinalização da área, falta de local para instalação, depredação, vandalismo e intemperismo.</w:t>
      </w:r>
    </w:p>
    <w:p w14:paraId="1BB9B0FC"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índice de falhas (total de falhas no ano/Total de dados coletados no ano), em média é muito baixo, da ordem de 0,22% e quando ocorrem falhas na comunicação/transmissão de dados, a Fundação Centro Tecnológico de Hidráulica – FCTH, contratada pela SABESP, aciona equipes de campo para reparos.</w:t>
      </w:r>
    </w:p>
    <w:p w14:paraId="3DC762D4"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relatório da SABESP lembra que segundo a Organização Meteorológica Mundial (WMO, 1994), “...</w:t>
      </w:r>
      <w:r w:rsidRPr="00C71115">
        <w:rPr>
          <w:rFonts w:eastAsia="MS Mincho" w:cs="Times New Roman"/>
          <w:i/>
          <w:sz w:val="28"/>
          <w:szCs w:val="28"/>
        </w:rPr>
        <w:t>o objetivo de uma rede de dados hidrológicos é permitir que, por interpolação entre séries de dados de diferentes estações, torne-se possível determinar com suficiente precisão, para fins práticos, as características básicas dos elementos hidrológicos e meteorológicos em qualquer ponto desta região</w:t>
      </w:r>
      <w:r w:rsidRPr="00C71115">
        <w:rPr>
          <w:rFonts w:eastAsia="MS Mincho" w:cs="Times New Roman"/>
          <w:sz w:val="28"/>
          <w:szCs w:val="28"/>
        </w:rPr>
        <w:t xml:space="preserve">”. </w:t>
      </w:r>
    </w:p>
    <w:p w14:paraId="25272A19"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A rede de monitoramento, no Sistema Cantareira, tem as seguintes 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C06696" w:rsidRPr="00C71115" w14:paraId="4CCF635D" w14:textId="77777777" w:rsidTr="00C06696">
        <w:tc>
          <w:tcPr>
            <w:tcW w:w="9636" w:type="dxa"/>
            <w:tcBorders>
              <w:top w:val="nil"/>
              <w:left w:val="nil"/>
              <w:bottom w:val="nil"/>
              <w:right w:val="nil"/>
            </w:tcBorders>
            <w:shd w:val="clear" w:color="auto" w:fill="auto"/>
          </w:tcPr>
          <w:p w14:paraId="6A86B4B5" w14:textId="1F727096" w:rsidR="00C06696" w:rsidRPr="00C71115" w:rsidRDefault="00C06696" w:rsidP="00C71115">
            <w:pPr>
              <w:spacing w:after="0" w:line="240" w:lineRule="auto"/>
              <w:jc w:val="both"/>
              <w:rPr>
                <w:rFonts w:eastAsia="MS Mincho" w:cs="Times New Roman"/>
                <w:bCs/>
                <w:color w:val="0070C0"/>
                <w:sz w:val="28"/>
                <w:szCs w:val="28"/>
              </w:rPr>
            </w:pPr>
            <w:r w:rsidRPr="00C71115">
              <w:rPr>
                <w:rFonts w:eastAsia="MS Mincho" w:cs="Times New Roman"/>
                <w:bCs/>
                <w:noProof/>
                <w:color w:val="0070C0"/>
                <w:sz w:val="28"/>
                <w:szCs w:val="28"/>
              </w:rPr>
              <w:drawing>
                <wp:inline distT="0" distB="0" distL="0" distR="0" wp14:anchorId="127278BA" wp14:editId="5ECDFD11">
                  <wp:extent cx="5505450" cy="2971800"/>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6161" b="14606"/>
                          <a:stretch>
                            <a:fillRect/>
                          </a:stretch>
                        </pic:blipFill>
                        <pic:spPr bwMode="auto">
                          <a:xfrm>
                            <a:off x="0" y="0"/>
                            <a:ext cx="5505450" cy="2971800"/>
                          </a:xfrm>
                          <a:prstGeom prst="rect">
                            <a:avLst/>
                          </a:prstGeom>
                          <a:noFill/>
                          <a:ln>
                            <a:noFill/>
                          </a:ln>
                        </pic:spPr>
                      </pic:pic>
                    </a:graphicData>
                  </a:graphic>
                </wp:inline>
              </w:drawing>
            </w:r>
          </w:p>
        </w:tc>
      </w:tr>
      <w:tr w:rsidR="00C06696" w:rsidRPr="00C71115" w14:paraId="34541ACD" w14:textId="77777777" w:rsidTr="00C06696">
        <w:tc>
          <w:tcPr>
            <w:tcW w:w="9636" w:type="dxa"/>
            <w:tcBorders>
              <w:top w:val="nil"/>
              <w:left w:val="nil"/>
              <w:bottom w:val="nil"/>
              <w:right w:val="nil"/>
            </w:tcBorders>
            <w:shd w:val="clear" w:color="auto" w:fill="auto"/>
          </w:tcPr>
          <w:p w14:paraId="4B23B7EF" w14:textId="77777777" w:rsidR="00C06696" w:rsidRPr="00C71115" w:rsidRDefault="00C06696" w:rsidP="00C71115">
            <w:pPr>
              <w:spacing w:after="120" w:line="240" w:lineRule="auto"/>
              <w:ind w:left="227"/>
              <w:jc w:val="both"/>
              <w:rPr>
                <w:rFonts w:eastAsia="MS Mincho" w:cs="Times New Roman"/>
                <w:bCs/>
                <w:sz w:val="28"/>
                <w:szCs w:val="28"/>
              </w:rPr>
            </w:pPr>
            <w:r w:rsidRPr="00C71115">
              <w:rPr>
                <w:rFonts w:eastAsia="MS Mincho" w:cs="Times New Roman"/>
                <w:b/>
                <w:bCs/>
                <w:sz w:val="28"/>
                <w:szCs w:val="28"/>
              </w:rPr>
              <w:t>Obs.:</w:t>
            </w:r>
            <w:r w:rsidRPr="00C71115">
              <w:rPr>
                <w:rFonts w:eastAsia="MS Mincho" w:cs="Times New Roman"/>
                <w:bCs/>
                <w:sz w:val="28"/>
                <w:szCs w:val="28"/>
              </w:rPr>
              <w:t xml:space="preserve"> (*</w:t>
            </w:r>
            <w:proofErr w:type="gramStart"/>
            <w:r w:rsidRPr="00C71115">
              <w:rPr>
                <w:rFonts w:eastAsia="MS Mincho" w:cs="Times New Roman"/>
                <w:bCs/>
                <w:sz w:val="28"/>
                <w:szCs w:val="28"/>
              </w:rPr>
              <w:t>) Não</w:t>
            </w:r>
            <w:proofErr w:type="gramEnd"/>
            <w:r w:rsidRPr="00C71115">
              <w:rPr>
                <w:rFonts w:eastAsia="MS Mincho" w:cs="Times New Roman"/>
                <w:bCs/>
                <w:sz w:val="28"/>
                <w:szCs w:val="28"/>
              </w:rPr>
              <w:t xml:space="preserve"> quantificado, pois se trata de transposição de água de outra Bacia, a do Paraíba do Sul. Os pontos de controle de vazão citados na Outorga (Anexo I) não estão relacionados na tabela acima, pois se localizam a jusante do sistema Cantareira.</w:t>
            </w:r>
          </w:p>
        </w:tc>
      </w:tr>
      <w:tr w:rsidR="00C06696" w:rsidRPr="00C71115" w14:paraId="01A8A735" w14:textId="77777777" w:rsidTr="00C06696">
        <w:tc>
          <w:tcPr>
            <w:tcW w:w="9636" w:type="dxa"/>
            <w:tcBorders>
              <w:top w:val="nil"/>
              <w:left w:val="nil"/>
              <w:bottom w:val="nil"/>
              <w:right w:val="nil"/>
            </w:tcBorders>
            <w:shd w:val="clear" w:color="auto" w:fill="auto"/>
          </w:tcPr>
          <w:p w14:paraId="1994EF2F" w14:textId="77777777" w:rsidR="00C06696" w:rsidRPr="00C71115" w:rsidRDefault="00C06696" w:rsidP="00C71115">
            <w:pPr>
              <w:spacing w:before="120" w:after="120" w:line="240" w:lineRule="auto"/>
              <w:jc w:val="both"/>
              <w:rPr>
                <w:rFonts w:eastAsia="MS Mincho" w:cs="Times New Roman"/>
                <w:bCs/>
                <w:sz w:val="28"/>
                <w:szCs w:val="28"/>
              </w:rPr>
            </w:pPr>
            <w:r w:rsidRPr="00C71115">
              <w:rPr>
                <w:rFonts w:eastAsia="MS Mincho" w:cs="Times New Roman"/>
                <w:bCs/>
                <w:sz w:val="28"/>
                <w:szCs w:val="28"/>
              </w:rPr>
              <w:t xml:space="preserve">Fonte: Relatório anexo ao oficio ANA/DAEE 4/2017/AA, de 06-dez-2017, arquivo de título </w:t>
            </w:r>
            <w:proofErr w:type="spellStart"/>
            <w:r w:rsidRPr="00C71115">
              <w:rPr>
                <w:rFonts w:eastAsia="MS Mincho" w:cs="Times New Roman"/>
                <w:bCs/>
                <w:i/>
                <w:sz w:val="28"/>
                <w:szCs w:val="28"/>
              </w:rPr>
              <w:t>Of</w:t>
            </w:r>
            <w:proofErr w:type="spellEnd"/>
            <w:r w:rsidRPr="00C71115">
              <w:rPr>
                <w:rFonts w:eastAsia="MS Mincho" w:cs="Times New Roman"/>
                <w:bCs/>
                <w:i/>
                <w:sz w:val="28"/>
                <w:szCs w:val="28"/>
              </w:rPr>
              <w:t xml:space="preserve"> Conj. ANA DAEE 04.2017 - Encaminha Plano de Adaptação das infraestruturas feito pela SABESP.PDF</w:t>
            </w:r>
            <w:r w:rsidRPr="00C71115">
              <w:rPr>
                <w:rFonts w:eastAsia="MS Mincho" w:cs="Times New Roman"/>
                <w:bCs/>
                <w:sz w:val="28"/>
                <w:szCs w:val="28"/>
              </w:rPr>
              <w:t>, Tabela 22, pág. 57</w:t>
            </w:r>
            <w:r w:rsidRPr="00C71115">
              <w:rPr>
                <w:rFonts w:eastAsia="MS Mincho" w:cs="Times New Roman"/>
                <w:sz w:val="28"/>
                <w:szCs w:val="28"/>
                <w:lang w:eastAsia="en-US"/>
              </w:rPr>
              <w:t xml:space="preserve"> </w:t>
            </w:r>
            <w:r w:rsidRPr="00C71115">
              <w:rPr>
                <w:rFonts w:eastAsia="MS Mincho" w:cs="Times New Roman"/>
                <w:bCs/>
                <w:sz w:val="28"/>
                <w:szCs w:val="28"/>
              </w:rPr>
              <w:t>ou folha 59 do arquivo em PDF.</w:t>
            </w:r>
          </w:p>
        </w:tc>
      </w:tr>
    </w:tbl>
    <w:p w14:paraId="3E235A85" w14:textId="77777777" w:rsidR="00C06696" w:rsidRPr="00C71115" w:rsidRDefault="00C06696" w:rsidP="00C71115">
      <w:pPr>
        <w:spacing w:after="240" w:line="240" w:lineRule="auto"/>
        <w:jc w:val="both"/>
        <w:rPr>
          <w:rFonts w:eastAsia="MS Mincho" w:cs="Times New Roman"/>
          <w:sz w:val="28"/>
          <w:szCs w:val="28"/>
        </w:rPr>
      </w:pPr>
    </w:p>
    <w:p w14:paraId="6D5477F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lastRenderedPageBreak/>
        <w:t>Considerando-se o objetivo da rede de monitoramento tem-se que:</w:t>
      </w:r>
    </w:p>
    <w:p w14:paraId="5C8BD16B" w14:textId="77777777" w:rsidR="00C06696" w:rsidRPr="00C71115" w:rsidRDefault="00C06696" w:rsidP="00C71115">
      <w:pPr>
        <w:numPr>
          <w:ilvl w:val="0"/>
          <w:numId w:val="43"/>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O guia de práticas hidrológicas da Organização Meteorológica Mundial (WMO,1994) recomenda uma </w:t>
      </w:r>
      <w:r w:rsidRPr="00C71115">
        <w:rPr>
          <w:rFonts w:eastAsia="Calibri" w:cs="Times New Roman"/>
          <w:b/>
          <w:color w:val="000000"/>
          <w:sz w:val="28"/>
          <w:szCs w:val="28"/>
        </w:rPr>
        <w:t>densidade mínima de 1 estação/2.500 km²</w:t>
      </w:r>
      <w:r w:rsidRPr="00C71115">
        <w:rPr>
          <w:rFonts w:eastAsia="Calibri" w:cs="Times New Roman"/>
          <w:color w:val="000000"/>
          <w:sz w:val="28"/>
          <w:szCs w:val="28"/>
        </w:rPr>
        <w:t>, para medição de precipitação em região de montanhas (no pior caso descrito pela WMO).</w:t>
      </w:r>
    </w:p>
    <w:p w14:paraId="7AEDCBD0" w14:textId="77777777" w:rsidR="00C06696" w:rsidRPr="00C71115" w:rsidRDefault="00C06696" w:rsidP="00C71115">
      <w:pPr>
        <w:numPr>
          <w:ilvl w:val="0"/>
          <w:numId w:val="43"/>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A Resolução Conjunta ANEEL/ANA nº 3 de 10 de agosto de 2010 (Anexo G), em seu artigo 2º parágrafo 3º, propõe que se tenha, no </w:t>
      </w:r>
      <w:r w:rsidRPr="00C71115">
        <w:rPr>
          <w:rFonts w:eastAsia="Calibri" w:cs="Times New Roman"/>
          <w:b/>
          <w:color w:val="000000"/>
          <w:sz w:val="28"/>
          <w:szCs w:val="28"/>
        </w:rPr>
        <w:t>mínimo, 3 estações de monitoramento pluviométrico e fluviométrico para áreas de drenagem entre 501 km² e 5.000 km².</w:t>
      </w:r>
    </w:p>
    <w:p w14:paraId="0FB0D184" w14:textId="77777777" w:rsidR="00C06696" w:rsidRPr="00C71115" w:rsidRDefault="00C06696" w:rsidP="00C71115">
      <w:pPr>
        <w:numPr>
          <w:ilvl w:val="0"/>
          <w:numId w:val="43"/>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O Sistema Cantareira possui uma área de drenagem de 2.329 km² e uma rede de 16 estações telemétricas da SABESP, o que resulta em </w:t>
      </w:r>
      <w:r w:rsidRPr="00C71115">
        <w:rPr>
          <w:rFonts w:eastAsia="Calibri" w:cs="Times New Roman"/>
          <w:b/>
          <w:color w:val="000000"/>
          <w:sz w:val="28"/>
          <w:szCs w:val="28"/>
        </w:rPr>
        <w:t>1 estação/146 km²</w:t>
      </w:r>
      <w:r w:rsidRPr="00C71115">
        <w:rPr>
          <w:rFonts w:eastAsia="Calibri" w:cs="Times New Roman"/>
          <w:color w:val="000000"/>
          <w:sz w:val="28"/>
          <w:szCs w:val="28"/>
        </w:rPr>
        <w:t>, superando inúmeras vezes o índice recomendado pela WMO e a Resolução Conjunta ANEEL/ANA.</w:t>
      </w:r>
    </w:p>
    <w:p w14:paraId="0D627E9C" w14:textId="77777777" w:rsidR="00C06696" w:rsidRPr="00C71115" w:rsidRDefault="00C06696" w:rsidP="00C71115">
      <w:pPr>
        <w:numPr>
          <w:ilvl w:val="0"/>
          <w:numId w:val="43"/>
        </w:numPr>
        <w:shd w:val="clear" w:color="auto" w:fill="FFFFFF"/>
        <w:spacing w:after="24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Se consideradas também as estações telemétricas operadas pela ANA, DAEE, Comitês PCJ, tem-se o índice de </w:t>
      </w:r>
      <w:r w:rsidRPr="00C71115">
        <w:rPr>
          <w:rFonts w:eastAsia="Calibri" w:cs="Times New Roman"/>
          <w:b/>
          <w:color w:val="000000"/>
          <w:sz w:val="28"/>
          <w:szCs w:val="28"/>
        </w:rPr>
        <w:t>1 estação/83 km²</w:t>
      </w:r>
      <w:r w:rsidRPr="00C71115">
        <w:rPr>
          <w:rFonts w:eastAsia="Calibri" w:cs="Times New Roman"/>
          <w:color w:val="000000"/>
          <w:sz w:val="28"/>
          <w:szCs w:val="28"/>
        </w:rPr>
        <w:t>.</w:t>
      </w:r>
    </w:p>
    <w:p w14:paraId="169FEF5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A SABESP destaca que o monitoramento telemétrico está implantado desde a outorga de 2004, com constantes melhorias e atualizações tecnológicas incorporadas ao longo do tempo. E, que todos os dados coletados estão disponíveis para acesso público, na Sala de Situação das Bacias PCJ, na Sala de Situação da ANA e na Sala de Situação do DAEE. </w:t>
      </w:r>
    </w:p>
    <w:p w14:paraId="10AE30E1"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Os dados monitorados estão consolidados em boletins e estes são disponibilizados no site da SABESP e também na sala de situação da Bacia PCJ, através dos links e alguns exemplos a seguir apresentados: </w:t>
      </w:r>
    </w:p>
    <w:p w14:paraId="0595F1C5" w14:textId="77777777" w:rsidR="00C06696" w:rsidRPr="00C71115" w:rsidRDefault="00C06696" w:rsidP="00C71115">
      <w:pPr>
        <w:spacing w:after="240" w:line="240" w:lineRule="auto"/>
        <w:ind w:left="851"/>
        <w:jc w:val="both"/>
        <w:rPr>
          <w:rFonts w:eastAsia="MS Mincho" w:cs="Times New Roman"/>
          <w:sz w:val="28"/>
          <w:szCs w:val="28"/>
        </w:rPr>
      </w:pPr>
    </w:p>
    <w:tbl>
      <w:tblPr>
        <w:tblW w:w="0" w:type="auto"/>
        <w:jc w:val="center"/>
        <w:tblLook w:val="04A0" w:firstRow="1" w:lastRow="0" w:firstColumn="1" w:lastColumn="0" w:noHBand="0" w:noVBand="1"/>
      </w:tblPr>
      <w:tblGrid>
        <w:gridCol w:w="9496"/>
      </w:tblGrid>
      <w:tr w:rsidR="00C06696" w:rsidRPr="00C71115" w14:paraId="2528C726" w14:textId="77777777" w:rsidTr="00C06696">
        <w:trPr>
          <w:jc w:val="center"/>
        </w:trPr>
        <w:tc>
          <w:tcPr>
            <w:tcW w:w="9636" w:type="dxa"/>
            <w:shd w:val="clear" w:color="auto" w:fill="auto"/>
          </w:tcPr>
          <w:p w14:paraId="6468D7B9" w14:textId="2850B7DF"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4C8E2799" wp14:editId="275FFBEF">
                  <wp:extent cx="3990975" cy="2438400"/>
                  <wp:effectExtent l="0" t="0" r="9525"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val="0"/>
                              </a:ext>
                            </a:extLst>
                          </a:blip>
                          <a:srcRect l="23955" t="13280" r="792" b="5031"/>
                          <a:stretch>
                            <a:fillRect/>
                          </a:stretch>
                        </pic:blipFill>
                        <pic:spPr bwMode="auto">
                          <a:xfrm>
                            <a:off x="0" y="0"/>
                            <a:ext cx="3990975" cy="2438400"/>
                          </a:xfrm>
                          <a:prstGeom prst="rect">
                            <a:avLst/>
                          </a:prstGeom>
                          <a:noFill/>
                          <a:ln>
                            <a:noFill/>
                          </a:ln>
                        </pic:spPr>
                      </pic:pic>
                    </a:graphicData>
                  </a:graphic>
                </wp:inline>
              </w:drawing>
            </w:r>
          </w:p>
        </w:tc>
      </w:tr>
    </w:tbl>
    <w:p w14:paraId="286CC8B5" w14:textId="77777777" w:rsidR="00C06696" w:rsidRPr="00C71115" w:rsidRDefault="00C06696" w:rsidP="00C71115">
      <w:pPr>
        <w:spacing w:after="0" w:line="240" w:lineRule="auto"/>
        <w:jc w:val="both"/>
        <w:rPr>
          <w:rFonts w:eastAsia="MS Mincho" w:cs="Times New Roman"/>
          <w:sz w:val="28"/>
          <w:szCs w:val="28"/>
        </w:rPr>
      </w:pPr>
    </w:p>
    <w:tbl>
      <w:tblPr>
        <w:tblW w:w="0" w:type="auto"/>
        <w:jc w:val="center"/>
        <w:tblLook w:val="04A0" w:firstRow="1" w:lastRow="0" w:firstColumn="1" w:lastColumn="0" w:noHBand="0" w:noVBand="1"/>
      </w:tblPr>
      <w:tblGrid>
        <w:gridCol w:w="4403"/>
        <w:gridCol w:w="4528"/>
      </w:tblGrid>
      <w:tr w:rsidR="00C06696" w:rsidRPr="00C71115" w14:paraId="688B0F2E" w14:textId="77777777" w:rsidTr="00286C84">
        <w:trPr>
          <w:jc w:val="center"/>
        </w:trPr>
        <w:tc>
          <w:tcPr>
            <w:tcW w:w="4403" w:type="dxa"/>
            <w:shd w:val="clear" w:color="auto" w:fill="auto"/>
          </w:tcPr>
          <w:p w14:paraId="705CA1AA" w14:textId="6E0F7A5E"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049202FC" wp14:editId="7DC4481D">
                  <wp:extent cx="1771650" cy="2371725"/>
                  <wp:effectExtent l="0" t="0" r="0" b="952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l="26567" t="13280" r="38791" b="5031"/>
                          <a:stretch>
                            <a:fillRect/>
                          </a:stretch>
                        </pic:blipFill>
                        <pic:spPr bwMode="auto">
                          <a:xfrm>
                            <a:off x="0" y="0"/>
                            <a:ext cx="1771650" cy="2371725"/>
                          </a:xfrm>
                          <a:prstGeom prst="rect">
                            <a:avLst/>
                          </a:prstGeom>
                          <a:noFill/>
                          <a:ln>
                            <a:noFill/>
                          </a:ln>
                        </pic:spPr>
                      </pic:pic>
                    </a:graphicData>
                  </a:graphic>
                </wp:inline>
              </w:drawing>
            </w:r>
          </w:p>
        </w:tc>
        <w:tc>
          <w:tcPr>
            <w:tcW w:w="4528" w:type="dxa"/>
            <w:shd w:val="clear" w:color="auto" w:fill="auto"/>
          </w:tcPr>
          <w:p w14:paraId="2CB2F5C3" w14:textId="09CD3E57"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70892E53" wp14:editId="3157A121">
                  <wp:extent cx="2428875" cy="23622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l="12218" t="14487" r="51242" b="22589"/>
                          <a:stretch>
                            <a:fillRect/>
                          </a:stretch>
                        </pic:blipFill>
                        <pic:spPr bwMode="auto">
                          <a:xfrm>
                            <a:off x="0" y="0"/>
                            <a:ext cx="2428875" cy="2362200"/>
                          </a:xfrm>
                          <a:prstGeom prst="rect">
                            <a:avLst/>
                          </a:prstGeom>
                          <a:noFill/>
                          <a:ln>
                            <a:noFill/>
                          </a:ln>
                        </pic:spPr>
                      </pic:pic>
                    </a:graphicData>
                  </a:graphic>
                </wp:inline>
              </w:drawing>
            </w:r>
          </w:p>
        </w:tc>
      </w:tr>
    </w:tbl>
    <w:p w14:paraId="39D253A5" w14:textId="77777777" w:rsidR="00C06696" w:rsidRDefault="00C06696" w:rsidP="00C71115">
      <w:pPr>
        <w:spacing w:after="0" w:line="240" w:lineRule="auto"/>
        <w:jc w:val="both"/>
        <w:rPr>
          <w:rFonts w:eastAsia="MS Mincho" w:cs="Times New Roman"/>
          <w:sz w:val="28"/>
          <w:szCs w:val="28"/>
        </w:rPr>
      </w:pPr>
    </w:p>
    <w:p w14:paraId="550C1E6A" w14:textId="77777777" w:rsidR="00286C84" w:rsidRPr="00C71115" w:rsidRDefault="00286C84" w:rsidP="00C71115">
      <w:pPr>
        <w:spacing w:after="0" w:line="240" w:lineRule="auto"/>
        <w:jc w:val="both"/>
        <w:rPr>
          <w:rFonts w:eastAsia="MS Mincho"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C06696" w:rsidRPr="00C71115" w14:paraId="22CBC1D6" w14:textId="77777777" w:rsidTr="00286C84">
        <w:tc>
          <w:tcPr>
            <w:tcW w:w="9496" w:type="dxa"/>
            <w:tcBorders>
              <w:top w:val="nil"/>
              <w:left w:val="nil"/>
              <w:bottom w:val="nil"/>
              <w:right w:val="nil"/>
            </w:tcBorders>
            <w:shd w:val="clear" w:color="auto" w:fill="auto"/>
          </w:tcPr>
          <w:p w14:paraId="54DFA50D" w14:textId="46985FB1"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59C30982" wp14:editId="58761F37">
                  <wp:extent cx="4733925" cy="31623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rcRect l="17671" t="20926" r="19797" b="4817"/>
                          <a:stretch>
                            <a:fillRect/>
                          </a:stretch>
                        </pic:blipFill>
                        <pic:spPr bwMode="auto">
                          <a:xfrm>
                            <a:off x="0" y="0"/>
                            <a:ext cx="4733925" cy="3162300"/>
                          </a:xfrm>
                          <a:prstGeom prst="rect">
                            <a:avLst/>
                          </a:prstGeom>
                          <a:noFill/>
                          <a:ln>
                            <a:noFill/>
                          </a:ln>
                        </pic:spPr>
                      </pic:pic>
                    </a:graphicData>
                  </a:graphic>
                </wp:inline>
              </w:drawing>
            </w:r>
          </w:p>
        </w:tc>
      </w:tr>
      <w:tr w:rsidR="00C06696" w:rsidRPr="00C71115" w14:paraId="5EDD46B4" w14:textId="77777777" w:rsidTr="00286C84">
        <w:tc>
          <w:tcPr>
            <w:tcW w:w="9496" w:type="dxa"/>
            <w:tcBorders>
              <w:top w:val="nil"/>
              <w:left w:val="nil"/>
              <w:bottom w:val="nil"/>
              <w:right w:val="nil"/>
            </w:tcBorders>
            <w:shd w:val="clear" w:color="auto" w:fill="auto"/>
          </w:tcPr>
          <w:p w14:paraId="7DD7E79C" w14:textId="77777777" w:rsidR="00C06696" w:rsidRPr="00C71115" w:rsidRDefault="00D95149" w:rsidP="00C71115">
            <w:pPr>
              <w:spacing w:after="0" w:line="240" w:lineRule="auto"/>
              <w:ind w:left="851"/>
              <w:jc w:val="both"/>
              <w:rPr>
                <w:rFonts w:eastAsia="MS Mincho" w:cs="Times New Roman"/>
                <w:sz w:val="28"/>
                <w:szCs w:val="28"/>
              </w:rPr>
            </w:pPr>
            <w:hyperlink r:id="rId17" w:history="1">
              <w:r w:rsidR="00C06696" w:rsidRPr="00C71115">
                <w:rPr>
                  <w:rFonts w:eastAsia="MS Mincho" w:cs="Times New Roman"/>
                  <w:sz w:val="28"/>
                  <w:szCs w:val="28"/>
                </w:rPr>
                <w:t>http://www2.sabesp.com.br/mananciais</w:t>
              </w:r>
            </w:hyperlink>
          </w:p>
        </w:tc>
      </w:tr>
    </w:tbl>
    <w:p w14:paraId="69EE4B1E" w14:textId="77777777" w:rsidR="00C06696" w:rsidRPr="00C71115" w:rsidRDefault="00C06696" w:rsidP="00C71115">
      <w:pPr>
        <w:spacing w:after="240" w:line="240" w:lineRule="auto"/>
        <w:ind w:left="851"/>
        <w:jc w:val="both"/>
        <w:rPr>
          <w:rFonts w:eastAsia="MS Mincho" w:cs="Times New Roman"/>
          <w:sz w:val="28"/>
          <w:szCs w:val="28"/>
        </w:rPr>
      </w:pPr>
    </w:p>
    <w:tbl>
      <w:tblPr>
        <w:tblW w:w="0" w:type="auto"/>
        <w:tblLook w:val="04A0" w:firstRow="1" w:lastRow="0" w:firstColumn="1" w:lastColumn="0" w:noHBand="0" w:noVBand="1"/>
      </w:tblPr>
      <w:tblGrid>
        <w:gridCol w:w="16"/>
        <w:gridCol w:w="9480"/>
      </w:tblGrid>
      <w:tr w:rsidR="00C06696" w:rsidRPr="00C71115" w14:paraId="1661ECC5" w14:textId="77777777" w:rsidTr="00286C84">
        <w:tc>
          <w:tcPr>
            <w:tcW w:w="9496" w:type="dxa"/>
            <w:gridSpan w:val="2"/>
            <w:shd w:val="clear" w:color="auto" w:fill="auto"/>
          </w:tcPr>
          <w:p w14:paraId="75C4B508" w14:textId="5C7D4BE8" w:rsidR="00C06696" w:rsidRPr="00C71115" w:rsidRDefault="00C06696" w:rsidP="00286C84">
            <w:pPr>
              <w:spacing w:after="0" w:line="240" w:lineRule="auto"/>
              <w:rPr>
                <w:rFonts w:eastAsia="MS Mincho" w:cs="Times New Roman"/>
                <w:sz w:val="28"/>
                <w:szCs w:val="28"/>
              </w:rPr>
            </w:pPr>
            <w:r w:rsidRPr="00C71115">
              <w:rPr>
                <w:rFonts w:eastAsia="MS Mincho" w:cs="Times New Roman"/>
                <w:noProof/>
                <w:sz w:val="28"/>
                <w:szCs w:val="28"/>
              </w:rPr>
              <w:lastRenderedPageBreak/>
              <w:drawing>
                <wp:inline distT="0" distB="0" distL="0" distR="0" wp14:anchorId="2A5094AC" wp14:editId="12AEF1C2">
                  <wp:extent cx="5524500" cy="25336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extLst>
                              <a:ext uri="{28A0092B-C50C-407E-A947-70E740481C1C}">
                                <a14:useLocalDpi xmlns:a14="http://schemas.microsoft.com/office/drawing/2010/main" val="0"/>
                              </a:ext>
                            </a:extLst>
                          </a:blip>
                          <a:srcRect t="13481" r="1584" b="6050"/>
                          <a:stretch>
                            <a:fillRect/>
                          </a:stretch>
                        </pic:blipFill>
                        <pic:spPr bwMode="auto">
                          <a:xfrm>
                            <a:off x="0" y="0"/>
                            <a:ext cx="5524500" cy="2533650"/>
                          </a:xfrm>
                          <a:prstGeom prst="rect">
                            <a:avLst/>
                          </a:prstGeom>
                          <a:noFill/>
                          <a:ln>
                            <a:noFill/>
                          </a:ln>
                        </pic:spPr>
                      </pic:pic>
                    </a:graphicData>
                  </a:graphic>
                </wp:inline>
              </w:drawing>
            </w:r>
          </w:p>
        </w:tc>
      </w:tr>
      <w:tr w:rsidR="00C06696" w:rsidRPr="00C71115" w14:paraId="2FE83972" w14:textId="77777777" w:rsidTr="00286C84">
        <w:trPr>
          <w:gridBefore w:val="1"/>
          <w:wBefore w:w="795" w:type="dxa"/>
        </w:trPr>
        <w:tc>
          <w:tcPr>
            <w:tcW w:w="8701" w:type="dxa"/>
            <w:shd w:val="clear" w:color="auto" w:fill="auto"/>
          </w:tcPr>
          <w:p w14:paraId="45C4F498" w14:textId="77777777" w:rsidR="00C06696" w:rsidRPr="00C71115" w:rsidRDefault="00D95149" w:rsidP="00C71115">
            <w:pPr>
              <w:spacing w:after="0" w:line="240" w:lineRule="auto"/>
              <w:ind w:left="851"/>
              <w:jc w:val="both"/>
              <w:rPr>
                <w:rFonts w:eastAsia="MS Mincho" w:cs="Times New Roman"/>
                <w:sz w:val="28"/>
                <w:szCs w:val="28"/>
              </w:rPr>
            </w:pPr>
            <w:hyperlink r:id="rId19" w:history="1">
              <w:r w:rsidR="00C06696" w:rsidRPr="00C71115">
                <w:rPr>
                  <w:rFonts w:eastAsia="MS Mincho" w:cs="Times New Roman"/>
                  <w:sz w:val="28"/>
                  <w:szCs w:val="28"/>
                </w:rPr>
                <w:t>http://www2.sabesp.com.br/mananciais/dadoscantareira/DadosRepresa.aspx</w:t>
              </w:r>
            </w:hyperlink>
          </w:p>
        </w:tc>
      </w:tr>
    </w:tbl>
    <w:p w14:paraId="7AF0962A" w14:textId="77777777" w:rsidR="00C06696" w:rsidRDefault="00C06696" w:rsidP="00C71115">
      <w:pPr>
        <w:spacing w:after="0" w:line="240" w:lineRule="auto"/>
        <w:jc w:val="both"/>
        <w:rPr>
          <w:rFonts w:eastAsia="MS Mincho" w:cs="Times New Roman"/>
          <w:sz w:val="28"/>
          <w:szCs w:val="28"/>
        </w:rPr>
      </w:pPr>
    </w:p>
    <w:p w14:paraId="4CF7ABF0" w14:textId="77777777" w:rsidR="00286C84" w:rsidRPr="00C71115" w:rsidRDefault="00286C84" w:rsidP="00C71115">
      <w:pPr>
        <w:spacing w:after="0" w:line="240" w:lineRule="auto"/>
        <w:jc w:val="both"/>
        <w:rPr>
          <w:rFonts w:eastAsia="MS Mincho" w:cs="Times New Roman"/>
          <w:sz w:val="28"/>
          <w:szCs w:val="28"/>
        </w:rPr>
      </w:pPr>
    </w:p>
    <w:tbl>
      <w:tblPr>
        <w:tblW w:w="0" w:type="auto"/>
        <w:tblLook w:val="04A0" w:firstRow="1" w:lastRow="0" w:firstColumn="1" w:lastColumn="0" w:noHBand="0" w:noVBand="1"/>
      </w:tblPr>
      <w:tblGrid>
        <w:gridCol w:w="4850"/>
        <w:gridCol w:w="4646"/>
      </w:tblGrid>
      <w:tr w:rsidR="00C06696" w:rsidRPr="00C71115" w14:paraId="5BD2BD9D" w14:textId="77777777" w:rsidTr="00286C84">
        <w:tc>
          <w:tcPr>
            <w:tcW w:w="8645" w:type="dxa"/>
            <w:gridSpan w:val="2"/>
            <w:shd w:val="clear" w:color="auto" w:fill="auto"/>
          </w:tcPr>
          <w:p w14:paraId="7ABDBB98" w14:textId="69019FAF" w:rsidR="00C06696" w:rsidRPr="00C71115" w:rsidRDefault="00C06696" w:rsidP="00286C84">
            <w:pPr>
              <w:spacing w:after="0" w:line="240" w:lineRule="auto"/>
              <w:jc w:val="center"/>
              <w:rPr>
                <w:rFonts w:eastAsia="MS Mincho" w:cs="Times New Roman"/>
                <w:sz w:val="28"/>
                <w:szCs w:val="28"/>
                <w:lang w:eastAsia="en-US"/>
              </w:rPr>
            </w:pPr>
            <w:r w:rsidRPr="00C71115">
              <w:rPr>
                <w:rFonts w:eastAsia="MS Mincho" w:cs="Times New Roman"/>
                <w:noProof/>
                <w:sz w:val="28"/>
                <w:szCs w:val="28"/>
              </w:rPr>
              <w:drawing>
                <wp:inline distT="0" distB="0" distL="0" distR="0" wp14:anchorId="70645928" wp14:editId="7A7EAEB7">
                  <wp:extent cx="3638550" cy="27336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l="14594" t="2615" r="16289" b="5231"/>
                          <a:stretch>
                            <a:fillRect/>
                          </a:stretch>
                        </pic:blipFill>
                        <pic:spPr bwMode="auto">
                          <a:xfrm>
                            <a:off x="0" y="0"/>
                            <a:ext cx="3638550" cy="2733675"/>
                          </a:xfrm>
                          <a:prstGeom prst="rect">
                            <a:avLst/>
                          </a:prstGeom>
                          <a:noFill/>
                          <a:ln>
                            <a:noFill/>
                          </a:ln>
                        </pic:spPr>
                      </pic:pic>
                    </a:graphicData>
                  </a:graphic>
                </wp:inline>
              </w:drawing>
            </w:r>
          </w:p>
        </w:tc>
      </w:tr>
      <w:tr w:rsidR="00C06696" w:rsidRPr="00C71115" w14:paraId="0FF2190C" w14:textId="77777777" w:rsidTr="00286C84">
        <w:tc>
          <w:tcPr>
            <w:tcW w:w="8645" w:type="dxa"/>
            <w:gridSpan w:val="2"/>
            <w:shd w:val="clear" w:color="auto" w:fill="auto"/>
          </w:tcPr>
          <w:p w14:paraId="3EC11291" w14:textId="79711513" w:rsidR="00C06696" w:rsidRPr="00C71115" w:rsidRDefault="00C06696" w:rsidP="00C71115">
            <w:pPr>
              <w:spacing w:after="0" w:line="240" w:lineRule="auto"/>
              <w:jc w:val="both"/>
              <w:rPr>
                <w:rFonts w:eastAsia="MS Mincho" w:cs="Times New Roman"/>
                <w:sz w:val="28"/>
                <w:szCs w:val="28"/>
                <w:lang w:eastAsia="en-US"/>
              </w:rPr>
            </w:pPr>
            <w:r w:rsidRPr="00C71115">
              <w:rPr>
                <w:rFonts w:eastAsia="MS Mincho" w:cs="Times New Roman"/>
                <w:noProof/>
                <w:sz w:val="28"/>
                <w:szCs w:val="28"/>
              </w:rPr>
              <w:lastRenderedPageBreak/>
              <w:drawing>
                <wp:inline distT="0" distB="0" distL="0" distR="0" wp14:anchorId="54BD4918" wp14:editId="5E9E495B">
                  <wp:extent cx="3638550" cy="26003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cstate="print">
                            <a:extLst>
                              <a:ext uri="{28A0092B-C50C-407E-A947-70E740481C1C}">
                                <a14:useLocalDpi xmlns:a14="http://schemas.microsoft.com/office/drawing/2010/main" val="0"/>
                              </a:ext>
                            </a:extLst>
                          </a:blip>
                          <a:srcRect l="17622" t="13280" r="19003" b="6439"/>
                          <a:stretch>
                            <a:fillRect/>
                          </a:stretch>
                        </pic:blipFill>
                        <pic:spPr bwMode="auto">
                          <a:xfrm>
                            <a:off x="0" y="0"/>
                            <a:ext cx="3638550" cy="2600325"/>
                          </a:xfrm>
                          <a:prstGeom prst="rect">
                            <a:avLst/>
                          </a:prstGeom>
                          <a:noFill/>
                          <a:ln>
                            <a:noFill/>
                          </a:ln>
                        </pic:spPr>
                      </pic:pic>
                    </a:graphicData>
                  </a:graphic>
                </wp:inline>
              </w:drawing>
            </w:r>
          </w:p>
        </w:tc>
      </w:tr>
      <w:tr w:rsidR="00C06696" w:rsidRPr="00C71115" w14:paraId="01DDC480" w14:textId="77777777" w:rsidTr="00286C84">
        <w:tc>
          <w:tcPr>
            <w:tcW w:w="8645" w:type="dxa"/>
            <w:gridSpan w:val="2"/>
            <w:shd w:val="clear" w:color="auto" w:fill="auto"/>
          </w:tcPr>
          <w:p w14:paraId="79EB62A7" w14:textId="4130EE9A" w:rsidR="00C06696" w:rsidRDefault="00D95149" w:rsidP="00286C84">
            <w:pPr>
              <w:spacing w:after="0" w:line="240" w:lineRule="auto"/>
              <w:jc w:val="both"/>
              <w:rPr>
                <w:rFonts w:eastAsia="MS Mincho" w:cs="Times New Roman"/>
                <w:sz w:val="28"/>
                <w:szCs w:val="28"/>
                <w:lang w:val="x-none" w:eastAsia="en-US"/>
              </w:rPr>
            </w:pPr>
            <w:hyperlink r:id="rId22" w:history="1">
              <w:r w:rsidR="00286C84" w:rsidRPr="00332F0D">
                <w:rPr>
                  <w:rStyle w:val="Hyperlink"/>
                  <w:rFonts w:eastAsia="MS Mincho" w:cs="Times New Roman"/>
                  <w:sz w:val="28"/>
                  <w:szCs w:val="28"/>
                  <w:lang w:val="x-none" w:eastAsia="en-US"/>
                </w:rPr>
                <w:t>http://www.sspcj.org.br/</w:t>
              </w:r>
            </w:hyperlink>
          </w:p>
          <w:p w14:paraId="0D3E5028" w14:textId="77777777" w:rsidR="00286C84" w:rsidRDefault="00286C84" w:rsidP="00286C84">
            <w:pPr>
              <w:spacing w:after="0" w:line="240" w:lineRule="auto"/>
              <w:jc w:val="both"/>
              <w:rPr>
                <w:rFonts w:eastAsia="MS Mincho" w:cs="Times New Roman"/>
                <w:sz w:val="28"/>
                <w:szCs w:val="28"/>
                <w:lang w:val="x-none" w:eastAsia="en-US"/>
              </w:rPr>
            </w:pPr>
          </w:p>
          <w:p w14:paraId="55B7A911" w14:textId="77777777" w:rsidR="00286C84" w:rsidRPr="00C71115" w:rsidRDefault="00286C84" w:rsidP="00286C84">
            <w:pPr>
              <w:spacing w:after="0" w:line="240" w:lineRule="auto"/>
              <w:jc w:val="both"/>
              <w:rPr>
                <w:rFonts w:eastAsia="MS Mincho" w:cs="Times New Roman"/>
                <w:noProof/>
                <w:sz w:val="28"/>
                <w:szCs w:val="28"/>
              </w:rPr>
            </w:pPr>
          </w:p>
        </w:tc>
      </w:tr>
      <w:tr w:rsidR="00C06696" w:rsidRPr="00C71115" w14:paraId="0B7A280B" w14:textId="77777777" w:rsidTr="00286C84">
        <w:tblPrEx>
          <w:jc w:val="center"/>
        </w:tblPrEx>
        <w:trPr>
          <w:jc w:val="center"/>
        </w:trPr>
        <w:tc>
          <w:tcPr>
            <w:tcW w:w="4415" w:type="dxa"/>
            <w:shd w:val="clear" w:color="auto" w:fill="auto"/>
          </w:tcPr>
          <w:p w14:paraId="33C81561" w14:textId="3D6BF020" w:rsidR="00C06696" w:rsidRPr="00C71115" w:rsidRDefault="00C06696" w:rsidP="00C71115">
            <w:pPr>
              <w:spacing w:after="240" w:line="240" w:lineRule="auto"/>
              <w:jc w:val="both"/>
              <w:rPr>
                <w:rFonts w:eastAsia="MS Mincho" w:cs="Times New Roman"/>
                <w:sz w:val="28"/>
                <w:szCs w:val="28"/>
                <w:lang w:eastAsia="en-US"/>
              </w:rPr>
            </w:pPr>
            <w:r w:rsidRPr="00C71115">
              <w:rPr>
                <w:rFonts w:eastAsia="MS Mincho" w:cs="Times New Roman"/>
                <w:noProof/>
                <w:sz w:val="28"/>
                <w:szCs w:val="28"/>
              </w:rPr>
              <w:drawing>
                <wp:inline distT="0" distB="0" distL="0" distR="0" wp14:anchorId="7CA9F768" wp14:editId="33B838E8">
                  <wp:extent cx="3019425" cy="24955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cstate="print">
                            <a:extLst>
                              <a:ext uri="{28A0092B-C50C-407E-A947-70E740481C1C}">
                                <a14:useLocalDpi xmlns:a14="http://schemas.microsoft.com/office/drawing/2010/main" val="0"/>
                              </a:ext>
                            </a:extLst>
                          </a:blip>
                          <a:srcRect l="21977" t="13481" r="24208" b="7260"/>
                          <a:stretch>
                            <a:fillRect/>
                          </a:stretch>
                        </pic:blipFill>
                        <pic:spPr bwMode="auto">
                          <a:xfrm>
                            <a:off x="0" y="0"/>
                            <a:ext cx="3019425" cy="2495550"/>
                          </a:xfrm>
                          <a:prstGeom prst="rect">
                            <a:avLst/>
                          </a:prstGeom>
                          <a:noFill/>
                          <a:ln>
                            <a:noFill/>
                          </a:ln>
                        </pic:spPr>
                      </pic:pic>
                    </a:graphicData>
                  </a:graphic>
                </wp:inline>
              </w:drawing>
            </w:r>
          </w:p>
        </w:tc>
        <w:tc>
          <w:tcPr>
            <w:tcW w:w="4230" w:type="dxa"/>
            <w:shd w:val="clear" w:color="auto" w:fill="auto"/>
          </w:tcPr>
          <w:p w14:paraId="1DE8EA88" w14:textId="478EC74B" w:rsidR="00C06696" w:rsidRPr="00C71115" w:rsidRDefault="00C06696" w:rsidP="00C71115">
            <w:pPr>
              <w:spacing w:after="240" w:line="240" w:lineRule="auto"/>
              <w:jc w:val="both"/>
              <w:rPr>
                <w:rFonts w:eastAsia="MS Mincho" w:cs="Times New Roman"/>
                <w:sz w:val="28"/>
                <w:szCs w:val="28"/>
                <w:lang w:eastAsia="en-US"/>
              </w:rPr>
            </w:pPr>
            <w:r w:rsidRPr="00C71115">
              <w:rPr>
                <w:rFonts w:eastAsia="MS Mincho" w:cs="Times New Roman"/>
                <w:noProof/>
                <w:sz w:val="28"/>
                <w:szCs w:val="28"/>
              </w:rPr>
              <w:drawing>
                <wp:inline distT="0" distB="0" distL="0" distR="0" wp14:anchorId="1F853AE2" wp14:editId="2A52DA55">
                  <wp:extent cx="2886075" cy="24003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extLst>
                              <a:ext uri="{28A0092B-C50C-407E-A947-70E740481C1C}">
                                <a14:useLocalDpi xmlns:a14="http://schemas.microsoft.com/office/drawing/2010/main" val="0"/>
                              </a:ext>
                            </a:extLst>
                          </a:blip>
                          <a:srcRect l="23303" t="19148" r="25000" b="4648"/>
                          <a:stretch>
                            <a:fillRect/>
                          </a:stretch>
                        </pic:blipFill>
                        <pic:spPr bwMode="auto">
                          <a:xfrm>
                            <a:off x="0" y="0"/>
                            <a:ext cx="2886075" cy="2400300"/>
                          </a:xfrm>
                          <a:prstGeom prst="rect">
                            <a:avLst/>
                          </a:prstGeom>
                          <a:noFill/>
                          <a:ln>
                            <a:noFill/>
                          </a:ln>
                        </pic:spPr>
                      </pic:pic>
                    </a:graphicData>
                  </a:graphic>
                </wp:inline>
              </w:drawing>
            </w:r>
          </w:p>
        </w:tc>
      </w:tr>
      <w:tr w:rsidR="00C06696" w:rsidRPr="00C71115" w14:paraId="1D301749" w14:textId="77777777" w:rsidTr="00286C84">
        <w:tblPrEx>
          <w:jc w:val="center"/>
        </w:tblPrEx>
        <w:trPr>
          <w:jc w:val="center"/>
        </w:trPr>
        <w:tc>
          <w:tcPr>
            <w:tcW w:w="8645" w:type="dxa"/>
            <w:gridSpan w:val="2"/>
            <w:shd w:val="clear" w:color="auto" w:fill="auto"/>
          </w:tcPr>
          <w:p w14:paraId="685EF028" w14:textId="77777777" w:rsidR="00C06696" w:rsidRPr="00C71115" w:rsidRDefault="00C06696" w:rsidP="00C71115">
            <w:pPr>
              <w:spacing w:after="0" w:line="240" w:lineRule="auto"/>
              <w:jc w:val="both"/>
              <w:rPr>
                <w:rFonts w:eastAsia="MS Mincho" w:cs="Times New Roman"/>
                <w:noProof/>
                <w:sz w:val="28"/>
                <w:szCs w:val="28"/>
              </w:rPr>
            </w:pPr>
            <w:r w:rsidRPr="00C71115">
              <w:rPr>
                <w:rFonts w:eastAsia="MS Mincho" w:cs="Times New Roman"/>
                <w:sz w:val="28"/>
                <w:szCs w:val="28"/>
                <w:lang w:val="x-none" w:eastAsia="en-US"/>
              </w:rPr>
              <w:t>http://www.sspcj.org.br/</w:t>
            </w:r>
          </w:p>
        </w:tc>
      </w:tr>
    </w:tbl>
    <w:p w14:paraId="58F9FC72" w14:textId="77777777" w:rsidR="00C06696" w:rsidRPr="00C71115" w:rsidRDefault="00C06696" w:rsidP="00C71115">
      <w:pPr>
        <w:spacing w:after="240" w:line="240" w:lineRule="auto"/>
        <w:ind w:left="851"/>
        <w:jc w:val="both"/>
        <w:rPr>
          <w:rFonts w:eastAsia="MS Mincho" w:cs="Times New Roman"/>
          <w:sz w:val="28"/>
          <w:szCs w:val="28"/>
          <w:lang w:eastAsia="en-US"/>
        </w:rPr>
      </w:pPr>
    </w:p>
    <w:tbl>
      <w:tblPr>
        <w:tblW w:w="9498" w:type="dxa"/>
        <w:tblLayout w:type="fixed"/>
        <w:tblLook w:val="04A0" w:firstRow="1" w:lastRow="0" w:firstColumn="1" w:lastColumn="0" w:noHBand="0" w:noVBand="1"/>
      </w:tblPr>
      <w:tblGrid>
        <w:gridCol w:w="5211"/>
        <w:gridCol w:w="4287"/>
      </w:tblGrid>
      <w:tr w:rsidR="00C06696" w:rsidRPr="00C71115" w14:paraId="1250C7B1" w14:textId="77777777" w:rsidTr="00286C84">
        <w:tc>
          <w:tcPr>
            <w:tcW w:w="5211" w:type="dxa"/>
            <w:shd w:val="clear" w:color="auto" w:fill="auto"/>
          </w:tcPr>
          <w:p w14:paraId="095692B6" w14:textId="14210F55" w:rsidR="00C06696" w:rsidRPr="00C71115" w:rsidRDefault="00C06696" w:rsidP="00C71115">
            <w:pPr>
              <w:spacing w:after="240" w:line="240" w:lineRule="auto"/>
              <w:jc w:val="both"/>
              <w:rPr>
                <w:rFonts w:eastAsia="MS Mincho" w:cs="Times New Roman"/>
                <w:sz w:val="28"/>
                <w:szCs w:val="28"/>
                <w:lang w:eastAsia="en-US"/>
              </w:rPr>
            </w:pPr>
            <w:r w:rsidRPr="00C71115">
              <w:rPr>
                <w:rFonts w:eastAsia="MS Mincho" w:cs="Times New Roman"/>
                <w:noProof/>
                <w:sz w:val="28"/>
                <w:szCs w:val="28"/>
              </w:rPr>
              <w:lastRenderedPageBreak/>
              <w:drawing>
                <wp:inline distT="0" distB="0" distL="0" distR="0" wp14:anchorId="5530AB5E" wp14:editId="38C26171">
                  <wp:extent cx="2800350" cy="28098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cstate="print">
                            <a:extLst>
                              <a:ext uri="{28A0092B-C50C-407E-A947-70E740481C1C}">
                                <a14:useLocalDpi xmlns:a14="http://schemas.microsoft.com/office/drawing/2010/main" val="0"/>
                              </a:ext>
                            </a:extLst>
                          </a:blip>
                          <a:srcRect l="28778" t="16096" r="27263" b="4840"/>
                          <a:stretch>
                            <a:fillRect/>
                          </a:stretch>
                        </pic:blipFill>
                        <pic:spPr bwMode="auto">
                          <a:xfrm>
                            <a:off x="0" y="0"/>
                            <a:ext cx="2800350" cy="2809875"/>
                          </a:xfrm>
                          <a:prstGeom prst="rect">
                            <a:avLst/>
                          </a:prstGeom>
                          <a:noFill/>
                          <a:ln>
                            <a:noFill/>
                          </a:ln>
                        </pic:spPr>
                      </pic:pic>
                    </a:graphicData>
                  </a:graphic>
                </wp:inline>
              </w:drawing>
            </w:r>
          </w:p>
        </w:tc>
        <w:tc>
          <w:tcPr>
            <w:tcW w:w="4287" w:type="dxa"/>
            <w:shd w:val="clear" w:color="auto" w:fill="auto"/>
          </w:tcPr>
          <w:p w14:paraId="5946F5CE" w14:textId="4757382F" w:rsidR="00C06696" w:rsidRPr="00C71115" w:rsidRDefault="00C06696" w:rsidP="00C71115">
            <w:pPr>
              <w:spacing w:after="240" w:line="240" w:lineRule="auto"/>
              <w:jc w:val="both"/>
              <w:rPr>
                <w:rFonts w:eastAsia="MS Mincho" w:cs="Times New Roman"/>
                <w:noProof/>
                <w:sz w:val="28"/>
                <w:szCs w:val="28"/>
              </w:rPr>
            </w:pPr>
            <w:r w:rsidRPr="00C71115">
              <w:rPr>
                <w:rFonts w:eastAsia="MS Mincho" w:cs="Times New Roman"/>
                <w:noProof/>
                <w:sz w:val="28"/>
                <w:szCs w:val="28"/>
              </w:rPr>
              <w:drawing>
                <wp:inline distT="0" distB="0" distL="0" distR="0" wp14:anchorId="472B28FD" wp14:editId="1514503F">
                  <wp:extent cx="2505075" cy="29718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extLst>
                              <a:ext uri="{28A0092B-C50C-407E-A947-70E740481C1C}">
                                <a14:useLocalDpi xmlns:a14="http://schemas.microsoft.com/office/drawing/2010/main" val="0"/>
                              </a:ext>
                            </a:extLst>
                          </a:blip>
                          <a:srcRect l="29886" t="13078" r="31174" b="4817"/>
                          <a:stretch>
                            <a:fillRect/>
                          </a:stretch>
                        </pic:blipFill>
                        <pic:spPr bwMode="auto">
                          <a:xfrm>
                            <a:off x="0" y="0"/>
                            <a:ext cx="2505075" cy="2971800"/>
                          </a:xfrm>
                          <a:prstGeom prst="rect">
                            <a:avLst/>
                          </a:prstGeom>
                          <a:noFill/>
                          <a:ln>
                            <a:noFill/>
                          </a:ln>
                        </pic:spPr>
                      </pic:pic>
                    </a:graphicData>
                  </a:graphic>
                </wp:inline>
              </w:drawing>
            </w:r>
          </w:p>
        </w:tc>
      </w:tr>
      <w:tr w:rsidR="00C06696" w:rsidRPr="00C71115" w14:paraId="512599E5" w14:textId="77777777" w:rsidTr="00286C84">
        <w:tc>
          <w:tcPr>
            <w:tcW w:w="5211" w:type="dxa"/>
            <w:shd w:val="clear" w:color="auto" w:fill="auto"/>
          </w:tcPr>
          <w:p w14:paraId="40097B56" w14:textId="77777777" w:rsidR="00C06696" w:rsidRPr="00C71115" w:rsidRDefault="00C06696" w:rsidP="00C71115">
            <w:pPr>
              <w:spacing w:after="0" w:line="240" w:lineRule="auto"/>
              <w:jc w:val="both"/>
              <w:rPr>
                <w:rFonts w:eastAsia="MS Mincho" w:cs="Times New Roman"/>
                <w:sz w:val="28"/>
                <w:szCs w:val="28"/>
                <w:lang w:eastAsia="en-US"/>
              </w:rPr>
            </w:pPr>
            <w:r w:rsidRPr="00C71115">
              <w:rPr>
                <w:rFonts w:eastAsia="MS Mincho" w:cs="Times New Roman"/>
                <w:sz w:val="28"/>
                <w:szCs w:val="28"/>
                <w:lang w:eastAsia="en-US"/>
              </w:rPr>
              <w:t>http://www.sspcj.org.br/images/downloads/SSPCJ_TelemetriaPCJ_20180707.pdf</w:t>
            </w:r>
          </w:p>
        </w:tc>
        <w:tc>
          <w:tcPr>
            <w:tcW w:w="4287" w:type="dxa"/>
            <w:shd w:val="clear" w:color="auto" w:fill="auto"/>
          </w:tcPr>
          <w:p w14:paraId="46CD6843" w14:textId="77777777" w:rsidR="00C06696" w:rsidRPr="00C71115" w:rsidRDefault="00C06696" w:rsidP="00C71115">
            <w:pPr>
              <w:spacing w:after="0" w:line="240" w:lineRule="auto"/>
              <w:jc w:val="both"/>
              <w:rPr>
                <w:rFonts w:eastAsia="MS Mincho" w:cs="Times New Roman"/>
                <w:sz w:val="28"/>
                <w:szCs w:val="28"/>
                <w:lang w:eastAsia="en-US"/>
              </w:rPr>
            </w:pPr>
            <w:r w:rsidRPr="00C71115">
              <w:rPr>
                <w:rFonts w:eastAsia="MS Mincho" w:cs="Times New Roman"/>
                <w:sz w:val="28"/>
                <w:szCs w:val="28"/>
                <w:lang w:eastAsia="en-US"/>
              </w:rPr>
              <w:t>http://www2.sabesp.com.br/mananciais/divulgacaopcj.aspx</w:t>
            </w:r>
          </w:p>
        </w:tc>
      </w:tr>
    </w:tbl>
    <w:p w14:paraId="2A8DD1F1" w14:textId="77777777" w:rsidR="00C06696" w:rsidRPr="00C71115" w:rsidRDefault="00C06696" w:rsidP="00C71115">
      <w:pPr>
        <w:spacing w:after="240" w:line="240" w:lineRule="auto"/>
        <w:ind w:left="851"/>
        <w:jc w:val="both"/>
        <w:rPr>
          <w:rFonts w:eastAsia="MS Mincho" w:cs="Times New Roman"/>
          <w:sz w:val="28"/>
          <w:szCs w:val="28"/>
          <w:lang w:eastAsia="en-US"/>
        </w:rPr>
      </w:pPr>
    </w:p>
    <w:p w14:paraId="1DBBC5AC"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Os dados são disponibilizados também em aplicativo Sabesp Mananciais RMSP (disponível para Androide </w:t>
      </w:r>
      <w:proofErr w:type="spellStart"/>
      <w:r w:rsidRPr="00C71115">
        <w:rPr>
          <w:rFonts w:eastAsia="MS Mincho" w:cs="Times New Roman"/>
          <w:sz w:val="28"/>
          <w:szCs w:val="28"/>
        </w:rPr>
        <w:t>iOs</w:t>
      </w:r>
      <w:proofErr w:type="spellEnd"/>
      <w:r w:rsidRPr="00C71115">
        <w:rPr>
          <w:rFonts w:eastAsia="MS Mincho" w:cs="Times New Roman"/>
          <w:sz w:val="28"/>
          <w:szCs w:val="28"/>
        </w:rPr>
        <w:t>).</w:t>
      </w:r>
    </w:p>
    <w:p w14:paraId="479B1706"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Além disso, as informações e os dados coletados poderão integrar o Sistema Nacional de Informações sobre Recursos Hídricos – SNIRH conforme orientação e procedimentos a serem fornecidos pela Agência Nacional de Águas – ANA. </w:t>
      </w:r>
    </w:p>
    <w:p w14:paraId="23CF1C3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Na discussão sobre o relatório da SABESP, em 28-fev-2017, o GT Outorga do Sistema Cantareira, deste Comitê, recomendou aprimoramentos com correção e/ou complementações nas informações do relatório como:</w:t>
      </w:r>
    </w:p>
    <w:p w14:paraId="5B7A5E6B" w14:textId="77777777" w:rsidR="00C06696" w:rsidRPr="00C71115" w:rsidRDefault="00C06696" w:rsidP="00C71115">
      <w:pPr>
        <w:numPr>
          <w:ilvl w:val="0"/>
          <w:numId w:val="44"/>
        </w:numPr>
        <w:spacing w:after="240" w:line="240" w:lineRule="auto"/>
        <w:ind w:left="584" w:hanging="227"/>
        <w:jc w:val="both"/>
        <w:rPr>
          <w:rFonts w:eastAsia="MS Mincho" w:cs="Times New Roman"/>
          <w:sz w:val="28"/>
          <w:szCs w:val="28"/>
        </w:rPr>
      </w:pPr>
      <w:r w:rsidRPr="00C71115">
        <w:rPr>
          <w:rFonts w:eastAsia="MS Mincho" w:cs="Times New Roman"/>
          <w:sz w:val="28"/>
          <w:szCs w:val="28"/>
        </w:rPr>
        <w:t xml:space="preserve">Custos do Contrato da SABESP com a FCTH que poderiam estar mais desagregados principalmente no item “despesas de manutenção da estação telemétrica” que é o mais significativo, com 94%; </w:t>
      </w:r>
    </w:p>
    <w:p w14:paraId="0085130E" w14:textId="77777777" w:rsidR="00C06696" w:rsidRPr="00C71115" w:rsidRDefault="00C06696" w:rsidP="00C71115">
      <w:pPr>
        <w:numPr>
          <w:ilvl w:val="0"/>
          <w:numId w:val="44"/>
        </w:numPr>
        <w:spacing w:after="240" w:line="240" w:lineRule="auto"/>
        <w:ind w:left="584" w:hanging="227"/>
        <w:jc w:val="both"/>
        <w:rPr>
          <w:rFonts w:eastAsia="MS Mincho" w:cs="Times New Roman"/>
          <w:sz w:val="28"/>
          <w:szCs w:val="28"/>
        </w:rPr>
      </w:pPr>
      <w:r w:rsidRPr="00C71115">
        <w:rPr>
          <w:rFonts w:eastAsia="MS Mincho" w:cs="Times New Roman"/>
          <w:sz w:val="28"/>
          <w:szCs w:val="28"/>
        </w:rPr>
        <w:t>Inserção da referência à UGRHI nas tabelas quando os municípios são mencionados;</w:t>
      </w:r>
    </w:p>
    <w:p w14:paraId="0C38ADF2" w14:textId="77777777" w:rsidR="00C06696" w:rsidRPr="00C71115" w:rsidRDefault="00C06696" w:rsidP="00C71115">
      <w:pPr>
        <w:numPr>
          <w:ilvl w:val="0"/>
          <w:numId w:val="44"/>
        </w:numPr>
        <w:spacing w:after="240" w:line="240" w:lineRule="auto"/>
        <w:ind w:left="584" w:hanging="227"/>
        <w:jc w:val="both"/>
        <w:rPr>
          <w:rFonts w:eastAsia="MS Mincho" w:cs="Times New Roman"/>
          <w:sz w:val="28"/>
          <w:szCs w:val="28"/>
        </w:rPr>
      </w:pPr>
      <w:r w:rsidRPr="00C71115">
        <w:rPr>
          <w:rFonts w:eastAsia="MS Mincho" w:cs="Times New Roman"/>
          <w:sz w:val="28"/>
          <w:szCs w:val="28"/>
        </w:rPr>
        <w:t>Correção: o Alto Tietê (CBH-AT ou FABHAT) não tem sala de situação</w:t>
      </w:r>
    </w:p>
    <w:p w14:paraId="7575D6AF" w14:textId="77777777" w:rsidR="00C06696" w:rsidRPr="00C71115" w:rsidRDefault="00C06696" w:rsidP="00C71115">
      <w:pPr>
        <w:numPr>
          <w:ilvl w:val="0"/>
          <w:numId w:val="44"/>
        </w:numPr>
        <w:spacing w:after="240" w:line="240" w:lineRule="auto"/>
        <w:ind w:left="584" w:hanging="227"/>
        <w:jc w:val="both"/>
        <w:rPr>
          <w:rFonts w:eastAsia="MS Mincho" w:cs="Times New Roman"/>
          <w:sz w:val="28"/>
          <w:szCs w:val="28"/>
        </w:rPr>
      </w:pPr>
      <w:r w:rsidRPr="00C71115">
        <w:rPr>
          <w:rFonts w:eastAsia="MS Mincho" w:cs="Times New Roman"/>
          <w:sz w:val="28"/>
          <w:szCs w:val="28"/>
        </w:rPr>
        <w:t>Informação complementar sobre a situação dos postos telemétricos a jusante das barragens Atibainha e Cachoeira, até a confluência com o rio Atibaia, devido ao interesse no estudo do tempo de trânsito das águas;</w:t>
      </w:r>
    </w:p>
    <w:p w14:paraId="44B9DEA3" w14:textId="77777777" w:rsidR="00C06696" w:rsidRPr="00C71115" w:rsidRDefault="00C06696" w:rsidP="00C71115">
      <w:pPr>
        <w:numPr>
          <w:ilvl w:val="0"/>
          <w:numId w:val="44"/>
        </w:numPr>
        <w:spacing w:after="240" w:line="240" w:lineRule="auto"/>
        <w:ind w:left="584" w:hanging="227"/>
        <w:jc w:val="both"/>
        <w:rPr>
          <w:rFonts w:eastAsia="MS Mincho" w:cs="Times New Roman"/>
          <w:sz w:val="28"/>
          <w:szCs w:val="28"/>
        </w:rPr>
      </w:pPr>
      <w:r w:rsidRPr="00C71115">
        <w:rPr>
          <w:rFonts w:eastAsia="MS Mincho" w:cs="Times New Roman"/>
          <w:sz w:val="28"/>
          <w:szCs w:val="28"/>
        </w:rPr>
        <w:lastRenderedPageBreak/>
        <w:t>Informação quanto ao andamento dos investimentos programados nas áreas de Caieiras, Francisco Morato e Franco da Rocha, para reduzir os impactos na qualidade da água a jusante do Paiva Castro;</w:t>
      </w:r>
    </w:p>
    <w:p w14:paraId="299EFA65" w14:textId="77777777" w:rsidR="00C06696" w:rsidRPr="00C71115" w:rsidRDefault="00C06696" w:rsidP="00C71115">
      <w:pPr>
        <w:spacing w:after="240" w:line="240" w:lineRule="auto"/>
        <w:jc w:val="both"/>
        <w:rPr>
          <w:rFonts w:eastAsia="MS Mincho" w:cs="Times New Roman"/>
          <w:sz w:val="28"/>
          <w:szCs w:val="28"/>
        </w:rPr>
      </w:pPr>
    </w:p>
    <w:p w14:paraId="52F8ACBD"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8" w:name="_Toc519069551"/>
      <w:r w:rsidRPr="00C71115">
        <w:rPr>
          <w:rFonts w:eastAsia="Times New Roman" w:cs="Times New Roman"/>
          <w:b/>
          <w:bCs/>
          <w:iCs/>
          <w:sz w:val="28"/>
          <w:szCs w:val="28"/>
        </w:rPr>
        <w:t>2.3. Conclusões</w:t>
      </w:r>
      <w:bookmarkEnd w:id="8"/>
    </w:p>
    <w:p w14:paraId="2907A36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 GT Outorga do Sistema Cantareira concluiu que a rede de monitoramento existente é satisfatória, com alguns trechos de rios da bacia com superposição de estações telemétricas. Quanto à disponibilização de dados, constata-se que os mesmos já estão atualizados </w:t>
      </w:r>
      <w:proofErr w:type="spellStart"/>
      <w:r w:rsidRPr="00C71115">
        <w:rPr>
          <w:rFonts w:eastAsia="MS Mincho" w:cs="Times New Roman"/>
          <w:i/>
          <w:sz w:val="28"/>
          <w:szCs w:val="28"/>
        </w:rPr>
        <w:t>on</w:t>
      </w:r>
      <w:proofErr w:type="spellEnd"/>
      <w:r w:rsidRPr="00C71115">
        <w:rPr>
          <w:rFonts w:eastAsia="MS Mincho" w:cs="Times New Roman"/>
          <w:i/>
          <w:sz w:val="28"/>
          <w:szCs w:val="28"/>
        </w:rPr>
        <w:t xml:space="preserve"> </w:t>
      </w:r>
      <w:proofErr w:type="spellStart"/>
      <w:r w:rsidRPr="00C71115">
        <w:rPr>
          <w:rFonts w:eastAsia="MS Mincho" w:cs="Times New Roman"/>
          <w:i/>
          <w:sz w:val="28"/>
          <w:szCs w:val="28"/>
        </w:rPr>
        <w:t>line</w:t>
      </w:r>
      <w:proofErr w:type="spellEnd"/>
      <w:r w:rsidRPr="00C71115">
        <w:rPr>
          <w:rFonts w:eastAsia="MS Mincho" w:cs="Times New Roman"/>
          <w:sz w:val="28"/>
          <w:szCs w:val="28"/>
        </w:rPr>
        <w:t xml:space="preserve">. Os investimentos já efetuados na ampliação e modernização da rede de postos de monitoramento de chuva e vazão, nas bacias de contribuição do Sistema Cantareira, atendem e superam os requisitos e padrões nacionais e internacionais – convencionais –, sendo nesse aspecto uma das bacias mais densamente monitoradas, no Estado. </w:t>
      </w:r>
    </w:p>
    <w:p w14:paraId="251490F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Todavia, entende-se que o monitoramento hidrológico do Sistema Cantareira é de interesse estratégico para a RMSP e bacias PCJ – pela magnitude das vazões transferidas em relação à vazão média natural – de forma que os indicadores convencionais de referência, da WMO e da ANEEL/ANA, devem ser utilizados com ressalva. Assim, é prudente que a SABESP envide esforços para que a qualidade do monitoramento hidrológico seja continuamente aperfeiçoada.</w:t>
      </w:r>
    </w:p>
    <w:p w14:paraId="210A38D0"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Nesse sentido a prioridade, doravante, deverá estar voltada para a otimização das estações já existentes. </w:t>
      </w:r>
    </w:p>
    <w:p w14:paraId="20323850"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Já, no CBH-AT, a prioridade deverá estar voltada para a capacitação, pela FABHAT, de equipes técnicas capazes de utilizar as ferramentas de simulação matemática de rios e reservatórios – alimentados por estes dados da rede telemétrica – com vistas a elaboração de cenários futuros de balanços hídricos no Alto Tietê e nas bacias PCJ, com a participação mais direta da CTMH - Câmara Técnica de Monitoramento Hidrológico.</w:t>
      </w:r>
    </w:p>
    <w:p w14:paraId="41A72A1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Por fim, diante dessa situação concluiu-se que o CBH-AT pode considerar que o artigo 6º da Resolução Conjunta ANA/DAEE nº 926 de 29/05/17 está atendido.</w:t>
      </w:r>
    </w:p>
    <w:p w14:paraId="45072DDE" w14:textId="77777777" w:rsidR="00C06696" w:rsidRPr="00C71115" w:rsidRDefault="00C06696" w:rsidP="00C71115">
      <w:pPr>
        <w:keepNext/>
        <w:pageBreakBefore/>
        <w:numPr>
          <w:ilvl w:val="0"/>
          <w:numId w:val="41"/>
        </w:numPr>
        <w:spacing w:after="360" w:line="240" w:lineRule="auto"/>
        <w:ind w:left="0" w:firstLine="0"/>
        <w:jc w:val="both"/>
        <w:outlineLvl w:val="0"/>
        <w:rPr>
          <w:rFonts w:eastAsia="Times New Roman" w:cs="Times New Roman"/>
          <w:b/>
          <w:bCs/>
          <w:kern w:val="32"/>
          <w:sz w:val="28"/>
          <w:szCs w:val="28"/>
        </w:rPr>
      </w:pPr>
      <w:r w:rsidRPr="00C71115">
        <w:rPr>
          <w:rFonts w:eastAsia="Times New Roman" w:cs="Times New Roman"/>
          <w:b/>
          <w:bCs/>
          <w:kern w:val="32"/>
          <w:sz w:val="28"/>
          <w:szCs w:val="28"/>
        </w:rPr>
        <w:lastRenderedPageBreak/>
        <w:t xml:space="preserve"> </w:t>
      </w:r>
      <w:bookmarkStart w:id="9" w:name="_Toc507688638"/>
      <w:bookmarkStart w:id="10" w:name="_Toc519069552"/>
      <w:r w:rsidRPr="00C71115">
        <w:rPr>
          <w:rFonts w:eastAsia="Times New Roman" w:cs="Times New Roman"/>
          <w:b/>
          <w:bCs/>
          <w:kern w:val="32"/>
          <w:sz w:val="28"/>
          <w:szCs w:val="28"/>
        </w:rPr>
        <w:t>3. Apreciação sobre o relatório da SABESP em atendimento ao artigo 12</w:t>
      </w:r>
      <w:bookmarkEnd w:id="9"/>
      <w:r w:rsidRPr="00C71115">
        <w:rPr>
          <w:rFonts w:eastAsia="Times New Roman" w:cs="Times New Roman"/>
          <w:b/>
          <w:bCs/>
          <w:kern w:val="32"/>
          <w:sz w:val="28"/>
          <w:szCs w:val="28"/>
        </w:rPr>
        <w:t>º</w:t>
      </w:r>
      <w:bookmarkEnd w:id="10"/>
      <w:r w:rsidRPr="00C71115">
        <w:rPr>
          <w:rFonts w:eastAsia="Times New Roman" w:cs="Times New Roman"/>
          <w:b/>
          <w:bCs/>
          <w:kern w:val="32"/>
          <w:sz w:val="28"/>
          <w:szCs w:val="28"/>
        </w:rPr>
        <w:t xml:space="preserve"> </w:t>
      </w:r>
      <w:bookmarkEnd w:id="5"/>
    </w:p>
    <w:p w14:paraId="3F77723E"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11" w:name="_Toc519069553"/>
      <w:r w:rsidRPr="00C71115">
        <w:rPr>
          <w:rFonts w:eastAsia="Times New Roman" w:cs="Times New Roman"/>
          <w:b/>
          <w:bCs/>
          <w:iCs/>
          <w:sz w:val="28"/>
          <w:szCs w:val="28"/>
        </w:rPr>
        <w:t>3.1. Introdução</w:t>
      </w:r>
      <w:bookmarkEnd w:id="11"/>
    </w:p>
    <w:p w14:paraId="64669122" w14:textId="77777777" w:rsidR="00C06696" w:rsidRPr="00C71115" w:rsidRDefault="00C06696" w:rsidP="00C71115">
      <w:pPr>
        <w:autoSpaceDE w:val="0"/>
        <w:autoSpaceDN w:val="0"/>
        <w:adjustRightInd w:val="0"/>
        <w:spacing w:after="120" w:line="240" w:lineRule="auto"/>
        <w:jc w:val="both"/>
        <w:rPr>
          <w:rFonts w:eastAsia="MS Mincho" w:cs="Times New Roman"/>
          <w:bCs/>
          <w:sz w:val="28"/>
          <w:szCs w:val="28"/>
        </w:rPr>
      </w:pPr>
      <w:r w:rsidRPr="00C71115">
        <w:rPr>
          <w:rFonts w:eastAsia="MS Mincho" w:cs="Times New Roman"/>
          <w:bCs/>
          <w:sz w:val="28"/>
          <w:szCs w:val="28"/>
        </w:rPr>
        <w:t>O art. 12º da Resolução Conjunta ANA/DAEE nº 926 de 29/05/17 diz:</w:t>
      </w:r>
    </w:p>
    <w:p w14:paraId="4DDAB2AC" w14:textId="77777777" w:rsidR="00C06696" w:rsidRPr="00C71115" w:rsidRDefault="00C06696" w:rsidP="00C71115">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120" w:line="240" w:lineRule="auto"/>
        <w:ind w:left="567"/>
        <w:jc w:val="both"/>
        <w:rPr>
          <w:rFonts w:eastAsia="MS Mincho" w:cs="Times New Roman"/>
          <w:bCs/>
          <w:sz w:val="28"/>
          <w:szCs w:val="28"/>
        </w:rPr>
      </w:pPr>
      <w:r w:rsidRPr="00C71115">
        <w:rPr>
          <w:rFonts w:eastAsia="MS Mincho" w:cs="Times New Roman"/>
          <w:bCs/>
          <w:sz w:val="28"/>
          <w:szCs w:val="28"/>
        </w:rPr>
        <w:t>Art. 12º - A SABESP deverá apresentar, no prazo de até 6 (seis) meses, para aprovação da ANA e do DAEE, ouvidos os comitês PCJ e CBH-AT, plano de adaptação das infraestruturas dos reservatórios para a eventual operação com níveis abaixo do mínimo operacional, que contemple as ações a serem implementadas e os prazos correspondentes.</w:t>
      </w:r>
    </w:p>
    <w:p w14:paraId="5A054AD9" w14:textId="77777777" w:rsidR="00C06696" w:rsidRPr="00C71115" w:rsidRDefault="00C06696" w:rsidP="00C71115">
      <w:pPr>
        <w:spacing w:after="120" w:line="240" w:lineRule="auto"/>
        <w:jc w:val="both"/>
        <w:rPr>
          <w:rFonts w:eastAsia="Times New Roman" w:cs="Times New Roman"/>
          <w:sz w:val="28"/>
          <w:szCs w:val="28"/>
        </w:rPr>
      </w:pPr>
    </w:p>
    <w:p w14:paraId="181542EC"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12" w:name="_Toc519069554"/>
      <w:r w:rsidRPr="00C71115">
        <w:rPr>
          <w:rFonts w:eastAsia="Times New Roman" w:cs="Times New Roman"/>
          <w:b/>
          <w:bCs/>
          <w:iCs/>
          <w:sz w:val="28"/>
          <w:szCs w:val="28"/>
        </w:rPr>
        <w:t>3.2. Síntese dos principais tópicos do relatório da SABESP (artigo 12)</w:t>
      </w:r>
      <w:bookmarkEnd w:id="12"/>
    </w:p>
    <w:p w14:paraId="02B5144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 relatório da SABESP traz basicamente as informações sobre: </w:t>
      </w:r>
    </w:p>
    <w:p w14:paraId="77D7B8A3" w14:textId="77777777" w:rsidR="00C06696" w:rsidRPr="00C71115" w:rsidRDefault="00C06696" w:rsidP="00C71115">
      <w:pPr>
        <w:numPr>
          <w:ilvl w:val="0"/>
          <w:numId w:val="45"/>
        </w:numPr>
        <w:spacing w:after="120" w:line="240" w:lineRule="auto"/>
        <w:ind w:left="714" w:hanging="357"/>
        <w:jc w:val="both"/>
        <w:rPr>
          <w:rFonts w:eastAsia="MS Mincho" w:cs="Times New Roman"/>
          <w:sz w:val="28"/>
          <w:szCs w:val="28"/>
        </w:rPr>
      </w:pPr>
      <w:r w:rsidRPr="00C71115">
        <w:rPr>
          <w:rFonts w:eastAsia="MS Mincho" w:cs="Times New Roman"/>
          <w:sz w:val="28"/>
          <w:szCs w:val="28"/>
        </w:rPr>
        <w:t>As reservas técnicas do Sistema Cantareira</w:t>
      </w:r>
    </w:p>
    <w:p w14:paraId="29D3450C" w14:textId="77777777" w:rsidR="00C06696" w:rsidRPr="00C71115" w:rsidRDefault="00C06696" w:rsidP="00C71115">
      <w:pPr>
        <w:numPr>
          <w:ilvl w:val="0"/>
          <w:numId w:val="45"/>
        </w:numPr>
        <w:spacing w:after="0" w:line="240" w:lineRule="auto"/>
        <w:jc w:val="both"/>
        <w:rPr>
          <w:rFonts w:eastAsia="MS Mincho" w:cs="Times New Roman"/>
          <w:sz w:val="28"/>
          <w:szCs w:val="28"/>
        </w:rPr>
      </w:pPr>
      <w:r w:rsidRPr="00C71115">
        <w:rPr>
          <w:rFonts w:eastAsia="MS Mincho" w:cs="Times New Roman"/>
          <w:sz w:val="28"/>
          <w:szCs w:val="28"/>
        </w:rPr>
        <w:t xml:space="preserve">Plano de mobilização para utilização da reserva técnica: </w:t>
      </w:r>
    </w:p>
    <w:p w14:paraId="290CA345" w14:textId="77777777" w:rsidR="00C06696" w:rsidRPr="00C71115" w:rsidRDefault="00C06696" w:rsidP="00C71115">
      <w:pPr>
        <w:numPr>
          <w:ilvl w:val="0"/>
          <w:numId w:val="48"/>
        </w:numPr>
        <w:spacing w:after="0" w:line="240" w:lineRule="auto"/>
        <w:ind w:left="1094" w:hanging="357"/>
        <w:jc w:val="both"/>
        <w:rPr>
          <w:rFonts w:eastAsia="MS Mincho" w:cs="Times New Roman"/>
          <w:sz w:val="28"/>
          <w:szCs w:val="28"/>
        </w:rPr>
      </w:pPr>
      <w:r w:rsidRPr="00C71115">
        <w:rPr>
          <w:rFonts w:eastAsia="MS Mincho" w:cs="Times New Roman"/>
          <w:sz w:val="28"/>
          <w:szCs w:val="28"/>
        </w:rPr>
        <w:t xml:space="preserve"> Etapas de utilização das reservas técnicas</w:t>
      </w:r>
    </w:p>
    <w:p w14:paraId="64E05399" w14:textId="77777777" w:rsidR="00C06696" w:rsidRPr="00C71115" w:rsidRDefault="00C06696" w:rsidP="00C71115">
      <w:pPr>
        <w:numPr>
          <w:ilvl w:val="0"/>
          <w:numId w:val="48"/>
        </w:numPr>
        <w:spacing w:after="120" w:line="240" w:lineRule="auto"/>
        <w:ind w:left="1094" w:hanging="357"/>
        <w:jc w:val="both"/>
        <w:rPr>
          <w:rFonts w:eastAsia="MS Mincho" w:cs="Times New Roman"/>
          <w:sz w:val="28"/>
          <w:szCs w:val="28"/>
        </w:rPr>
      </w:pPr>
      <w:r w:rsidRPr="00C71115">
        <w:rPr>
          <w:rFonts w:eastAsia="MS Mincho" w:cs="Times New Roman"/>
          <w:sz w:val="28"/>
          <w:szCs w:val="28"/>
        </w:rPr>
        <w:t xml:space="preserve"> Valores estimados na mobilização e utilização das reservas técnicas</w:t>
      </w:r>
    </w:p>
    <w:p w14:paraId="0CF40401" w14:textId="77777777" w:rsidR="00C06696" w:rsidRPr="00C71115" w:rsidRDefault="00C06696" w:rsidP="00C71115">
      <w:pPr>
        <w:numPr>
          <w:ilvl w:val="0"/>
          <w:numId w:val="45"/>
        </w:numPr>
        <w:spacing w:after="240" w:line="240" w:lineRule="auto"/>
        <w:jc w:val="both"/>
        <w:rPr>
          <w:rFonts w:eastAsia="MS Mincho" w:cs="Times New Roman"/>
          <w:sz w:val="28"/>
          <w:szCs w:val="28"/>
        </w:rPr>
      </w:pPr>
      <w:r w:rsidRPr="00C71115">
        <w:rPr>
          <w:rFonts w:eastAsia="MS Mincho" w:cs="Times New Roman"/>
          <w:sz w:val="28"/>
          <w:szCs w:val="28"/>
        </w:rPr>
        <w:t>Conclusão</w:t>
      </w:r>
    </w:p>
    <w:p w14:paraId="084A51AA" w14:textId="77777777" w:rsidR="00C06696" w:rsidRPr="00C71115" w:rsidRDefault="00C06696" w:rsidP="00C71115">
      <w:pPr>
        <w:spacing w:after="120" w:line="240" w:lineRule="auto"/>
        <w:jc w:val="both"/>
        <w:rPr>
          <w:rFonts w:eastAsia="MS Mincho" w:cs="Times New Roman"/>
          <w:sz w:val="28"/>
          <w:szCs w:val="28"/>
        </w:rPr>
      </w:pPr>
      <w:r w:rsidRPr="00C71115">
        <w:rPr>
          <w:rFonts w:eastAsia="MS Mincho" w:cs="Times New Roman"/>
          <w:sz w:val="28"/>
          <w:szCs w:val="28"/>
        </w:rPr>
        <w:t xml:space="preserve">Considera-se como reserva técnica os volumes armazenados abaixo de seus níveis mínimos operacionais cuja captação é factível. No Sistema Cantareira é possível efetuar a captação das reservas técnicas nos reservatórios Jacareí e Atibainha, desde que sejam instaladas </w:t>
      </w:r>
      <w:proofErr w:type="spellStart"/>
      <w:r w:rsidRPr="00C71115">
        <w:rPr>
          <w:rFonts w:eastAsia="MS Mincho" w:cs="Times New Roman"/>
          <w:sz w:val="28"/>
          <w:szCs w:val="28"/>
        </w:rPr>
        <w:t>motobombas</w:t>
      </w:r>
      <w:proofErr w:type="spellEnd"/>
      <w:r w:rsidRPr="00C71115">
        <w:rPr>
          <w:rFonts w:eastAsia="MS Mincho" w:cs="Times New Roman"/>
          <w:sz w:val="28"/>
          <w:szCs w:val="28"/>
        </w:rPr>
        <w:t xml:space="preserve"> em instalações temporárias para este fim e devidamente autorizada pelos órgãos gestores ANA e DAEE. Ao todo, é possível captar ~ 287,4 hm³ destes dois reservatórios, como segue:</w:t>
      </w:r>
    </w:p>
    <w:tbl>
      <w:tblPr>
        <w:tblW w:w="0" w:type="auto"/>
        <w:tblLook w:val="04A0" w:firstRow="1" w:lastRow="0" w:firstColumn="1" w:lastColumn="0" w:noHBand="0" w:noVBand="1"/>
      </w:tblPr>
      <w:tblGrid>
        <w:gridCol w:w="9432"/>
        <w:gridCol w:w="64"/>
      </w:tblGrid>
      <w:tr w:rsidR="00C06696" w:rsidRPr="00C71115" w14:paraId="72137E1A" w14:textId="77777777" w:rsidTr="00C06696">
        <w:tc>
          <w:tcPr>
            <w:tcW w:w="9636" w:type="dxa"/>
            <w:gridSpan w:val="2"/>
            <w:shd w:val="clear" w:color="auto" w:fill="auto"/>
          </w:tcPr>
          <w:p w14:paraId="262B9C2F" w14:textId="2F55CE08"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5DD044B4" wp14:editId="47F579FE">
                  <wp:extent cx="6029325" cy="10096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1009650"/>
                          </a:xfrm>
                          <a:prstGeom prst="rect">
                            <a:avLst/>
                          </a:prstGeom>
                          <a:noFill/>
                          <a:ln>
                            <a:noFill/>
                          </a:ln>
                        </pic:spPr>
                      </pic:pic>
                    </a:graphicData>
                  </a:graphic>
                </wp:inline>
              </w:drawing>
            </w:r>
          </w:p>
        </w:tc>
      </w:tr>
      <w:tr w:rsidR="00C06696" w:rsidRPr="00C71115" w14:paraId="6ABA441E" w14:textId="77777777" w:rsidTr="00C06696">
        <w:trPr>
          <w:gridAfter w:val="1"/>
          <w:wAfter w:w="74" w:type="dxa"/>
        </w:trPr>
        <w:tc>
          <w:tcPr>
            <w:tcW w:w="9636" w:type="dxa"/>
            <w:shd w:val="clear" w:color="auto" w:fill="auto"/>
          </w:tcPr>
          <w:p w14:paraId="70D9B323"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Fonte: Relatório anexo ao oficio ANA/DAEE 4/2017/AA, de 06-dez-2017, arquivo de título </w:t>
            </w:r>
            <w:proofErr w:type="spellStart"/>
            <w:r w:rsidRPr="00C71115">
              <w:rPr>
                <w:rFonts w:eastAsia="MS Mincho" w:cs="Times New Roman"/>
                <w:i/>
                <w:sz w:val="28"/>
                <w:szCs w:val="28"/>
              </w:rPr>
              <w:t>Of</w:t>
            </w:r>
            <w:proofErr w:type="spellEnd"/>
            <w:r w:rsidRPr="00C71115">
              <w:rPr>
                <w:rFonts w:eastAsia="MS Mincho" w:cs="Times New Roman"/>
                <w:i/>
                <w:sz w:val="28"/>
                <w:szCs w:val="28"/>
              </w:rPr>
              <w:t xml:space="preserve"> Conj. ANA DAEE 04.2017 - Encaminha Plano de Adaptação das infraestruturas feito pela SABESP.PDF</w:t>
            </w:r>
            <w:r w:rsidRPr="00C71115">
              <w:rPr>
                <w:rFonts w:eastAsia="MS Mincho" w:cs="Times New Roman"/>
                <w:sz w:val="28"/>
                <w:szCs w:val="28"/>
              </w:rPr>
              <w:t>, Quadro 2, pág. 18 ou folha 206 do arquivo em PDF.</w:t>
            </w:r>
          </w:p>
        </w:tc>
      </w:tr>
    </w:tbl>
    <w:p w14:paraId="06D41D3A"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lastRenderedPageBreak/>
        <w:t>Todavia, a infraestrutura básica de equipamentos para que cada elevatória de captação opere plenamente não é simples envolvendo a mobilização conforme apresentada a seguir:</w:t>
      </w:r>
    </w:p>
    <w:tbl>
      <w:tblPr>
        <w:tblW w:w="0" w:type="auto"/>
        <w:tblLook w:val="04A0" w:firstRow="1" w:lastRow="0" w:firstColumn="1" w:lastColumn="0" w:noHBand="0" w:noVBand="1"/>
      </w:tblPr>
      <w:tblGrid>
        <w:gridCol w:w="9432"/>
        <w:gridCol w:w="64"/>
      </w:tblGrid>
      <w:tr w:rsidR="00C06696" w:rsidRPr="00C71115" w14:paraId="36401637" w14:textId="77777777" w:rsidTr="00C06696">
        <w:tc>
          <w:tcPr>
            <w:tcW w:w="9636" w:type="dxa"/>
            <w:gridSpan w:val="2"/>
            <w:shd w:val="clear" w:color="auto" w:fill="auto"/>
          </w:tcPr>
          <w:p w14:paraId="1271E3E2" w14:textId="27D73D0A"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drawing>
                <wp:inline distT="0" distB="0" distL="0" distR="0" wp14:anchorId="19E8A295" wp14:editId="698B80C0">
                  <wp:extent cx="6029325" cy="107632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1076325"/>
                          </a:xfrm>
                          <a:prstGeom prst="rect">
                            <a:avLst/>
                          </a:prstGeom>
                          <a:noFill/>
                          <a:ln>
                            <a:noFill/>
                          </a:ln>
                        </pic:spPr>
                      </pic:pic>
                    </a:graphicData>
                  </a:graphic>
                </wp:inline>
              </w:drawing>
            </w:r>
          </w:p>
        </w:tc>
      </w:tr>
      <w:tr w:rsidR="00C06696" w:rsidRPr="00C71115" w14:paraId="64EBD52D" w14:textId="77777777" w:rsidTr="00C06696">
        <w:trPr>
          <w:gridAfter w:val="1"/>
          <w:wAfter w:w="74" w:type="dxa"/>
        </w:trPr>
        <w:tc>
          <w:tcPr>
            <w:tcW w:w="9636" w:type="dxa"/>
            <w:shd w:val="clear" w:color="auto" w:fill="auto"/>
          </w:tcPr>
          <w:p w14:paraId="53A10FE6"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Fonte: Relatório anexo ao oficio ANA/DAEE 4/2017/AA, de 06-dez-2017, arquivo de título </w:t>
            </w:r>
            <w:proofErr w:type="spellStart"/>
            <w:r w:rsidRPr="00C71115">
              <w:rPr>
                <w:rFonts w:eastAsia="MS Mincho" w:cs="Times New Roman"/>
                <w:i/>
                <w:sz w:val="28"/>
                <w:szCs w:val="28"/>
              </w:rPr>
              <w:t>Of</w:t>
            </w:r>
            <w:proofErr w:type="spellEnd"/>
            <w:r w:rsidRPr="00C71115">
              <w:rPr>
                <w:rFonts w:eastAsia="MS Mincho" w:cs="Times New Roman"/>
                <w:i/>
                <w:sz w:val="28"/>
                <w:szCs w:val="28"/>
              </w:rPr>
              <w:t xml:space="preserve"> Conj. ANA DAEE 04.2017 - Encaminha Plano de Adaptação das infraestruturas feito pela SABESP.PDF</w:t>
            </w:r>
            <w:r w:rsidRPr="00C71115">
              <w:rPr>
                <w:rFonts w:eastAsia="MS Mincho" w:cs="Times New Roman"/>
                <w:sz w:val="28"/>
                <w:szCs w:val="28"/>
              </w:rPr>
              <w:t>, Quadro 3, pág. 18 ou folha 206 do arquivo em PDF.</w:t>
            </w:r>
          </w:p>
        </w:tc>
      </w:tr>
    </w:tbl>
    <w:p w14:paraId="465E0B65"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 objetivo do relatório é a de apresentar uma linha de ação imediata, caso venha a se repetir nova situação de crise hídrica. </w:t>
      </w:r>
    </w:p>
    <w:p w14:paraId="20E7F8AF"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O relatório está respaldado na experiência da SABESP, no enfrentamento da crise de 2014-15, ocasião em que essas duas reservas técnicas foram utilizadas. Assim sendo, o Plano repete o procedimento adotado e que demonstrou plenamente a sua funcionalidade, nas condições em que se encontrava o sistema de abastecimento de água da RMSP, naquela época. </w:t>
      </w:r>
    </w:p>
    <w:p w14:paraId="7E3C26FD"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Embora não descrito no relatório da SABESP, deve-se ressaltar – nesse aspecto – que hoje, as condições do sistema de abastecimento de água da RMSP são comparativamente mais favoráveis do ponto de vista de segurança hídrica. Dentre os motivos para a maior resiliência da RMSP destacam-se:</w:t>
      </w:r>
    </w:p>
    <w:p w14:paraId="64B0BACF" w14:textId="77777777" w:rsidR="00C06696" w:rsidRPr="00C71115" w:rsidRDefault="00C06696" w:rsidP="00C71115">
      <w:pPr>
        <w:numPr>
          <w:ilvl w:val="0"/>
          <w:numId w:val="45"/>
        </w:numPr>
        <w:spacing w:after="240" w:line="240" w:lineRule="auto"/>
        <w:ind w:left="584" w:hanging="227"/>
        <w:jc w:val="both"/>
        <w:rPr>
          <w:rFonts w:eastAsia="MS Mincho" w:cs="Times New Roman"/>
          <w:sz w:val="28"/>
          <w:szCs w:val="28"/>
        </w:rPr>
      </w:pPr>
      <w:r w:rsidRPr="00C71115">
        <w:rPr>
          <w:rFonts w:eastAsia="MS Mincho" w:cs="Times New Roman"/>
          <w:sz w:val="28"/>
          <w:szCs w:val="28"/>
        </w:rPr>
        <w:t>A Resolução Conjunta ANA/DAEE n</w:t>
      </w:r>
      <w:r w:rsidRPr="00C71115">
        <w:rPr>
          <w:rFonts w:eastAsia="MS Mincho" w:cs="Times New Roman"/>
          <w:sz w:val="28"/>
          <w:szCs w:val="28"/>
          <w:vertAlign w:val="superscript"/>
        </w:rPr>
        <w:t>o</w:t>
      </w:r>
      <w:r w:rsidRPr="00C71115">
        <w:rPr>
          <w:rFonts w:eastAsia="MS Mincho" w:cs="Times New Roman"/>
          <w:sz w:val="28"/>
          <w:szCs w:val="28"/>
        </w:rPr>
        <w:t xml:space="preserve"> 925 de 29 de maio de 2017</w:t>
      </w:r>
      <w:r w:rsidRPr="00C71115">
        <w:rPr>
          <w:rFonts w:eastAsia="MS Mincho" w:cs="Times New Roman"/>
          <w:sz w:val="28"/>
          <w:szCs w:val="28"/>
          <w:lang w:val="x-none" w:eastAsia="en-US"/>
        </w:rPr>
        <w:t xml:space="preserve"> </w:t>
      </w:r>
      <w:r w:rsidRPr="00C71115">
        <w:rPr>
          <w:rFonts w:eastAsia="MS Mincho" w:cs="Times New Roman"/>
          <w:sz w:val="28"/>
          <w:szCs w:val="28"/>
        </w:rPr>
        <w:t>dispondo sobre as condições de operação para o Sistema Cantareira estabeleceu – nos seus artigos 3</w:t>
      </w:r>
      <w:r w:rsidRPr="00C71115">
        <w:rPr>
          <w:rFonts w:eastAsia="MS Mincho" w:cs="Times New Roman"/>
          <w:sz w:val="28"/>
          <w:szCs w:val="28"/>
          <w:u w:val="single"/>
          <w:vertAlign w:val="superscript"/>
        </w:rPr>
        <w:t>o</w:t>
      </w:r>
      <w:r w:rsidRPr="00C71115">
        <w:rPr>
          <w:rFonts w:eastAsia="MS Mincho" w:cs="Times New Roman"/>
          <w:sz w:val="28"/>
          <w:szCs w:val="28"/>
        </w:rPr>
        <w:t>, 4</w:t>
      </w:r>
      <w:r w:rsidRPr="00C71115">
        <w:rPr>
          <w:rFonts w:eastAsia="MS Mincho" w:cs="Times New Roman"/>
          <w:sz w:val="28"/>
          <w:szCs w:val="28"/>
          <w:u w:val="single"/>
          <w:vertAlign w:val="superscript"/>
        </w:rPr>
        <w:t>o</w:t>
      </w:r>
      <w:r w:rsidRPr="00C71115">
        <w:rPr>
          <w:rFonts w:eastAsia="MS Mincho" w:cs="Times New Roman"/>
          <w:sz w:val="28"/>
          <w:szCs w:val="28"/>
        </w:rPr>
        <w:t xml:space="preserve"> e 5</w:t>
      </w:r>
      <w:r w:rsidRPr="00C71115">
        <w:rPr>
          <w:rFonts w:eastAsia="MS Mincho" w:cs="Times New Roman"/>
          <w:sz w:val="28"/>
          <w:szCs w:val="28"/>
          <w:u w:val="single"/>
          <w:vertAlign w:val="superscript"/>
        </w:rPr>
        <w:t>o</w:t>
      </w:r>
      <w:r w:rsidRPr="00C71115">
        <w:rPr>
          <w:rFonts w:eastAsia="MS Mincho" w:cs="Times New Roman"/>
          <w:sz w:val="28"/>
          <w:szCs w:val="28"/>
        </w:rPr>
        <w:t xml:space="preserve">, limites e condições para a utilização das águas, para a RMSP e para as bacias PCJ, que dependem do período hidrológico do ano e das 5 faixas de operação em função do estado do reservatório equivalente. Assim sendo, à medida que se reduz o volume útil acumulado, restrições gradativas foram introduzidas na regra operacional, para a utilização de suas águas. Na Faixa 5 (Especial), por exemplo, quando o volume acumulado for inferior a 20% do volume útil, a retirada autorizada na </w:t>
      </w:r>
      <w:r w:rsidRPr="00C71115">
        <w:rPr>
          <w:rFonts w:eastAsia="MS Mincho" w:cs="Times New Roman"/>
          <w:sz w:val="28"/>
          <w:szCs w:val="28"/>
          <w:lang w:val="x-none"/>
        </w:rPr>
        <w:t>Estação Elevatória Santa Inês</w:t>
      </w:r>
      <w:r w:rsidRPr="00C71115">
        <w:rPr>
          <w:rFonts w:eastAsia="MS Mincho" w:cs="Times New Roman"/>
          <w:sz w:val="28"/>
          <w:szCs w:val="28"/>
        </w:rPr>
        <w:t xml:space="preserve"> é de apenas 15,5 m</w:t>
      </w:r>
      <w:r w:rsidRPr="00C71115">
        <w:rPr>
          <w:rFonts w:eastAsia="MS Mincho" w:cs="Times New Roman"/>
          <w:sz w:val="28"/>
          <w:szCs w:val="28"/>
          <w:vertAlign w:val="superscript"/>
        </w:rPr>
        <w:t>3</w:t>
      </w:r>
      <w:r w:rsidRPr="00C71115">
        <w:rPr>
          <w:rFonts w:eastAsia="MS Mincho" w:cs="Times New Roman"/>
          <w:sz w:val="28"/>
          <w:szCs w:val="28"/>
        </w:rPr>
        <w:t>/s contra os 33 m</w:t>
      </w:r>
      <w:r w:rsidRPr="00C71115">
        <w:rPr>
          <w:rFonts w:eastAsia="MS Mincho" w:cs="Times New Roman"/>
          <w:sz w:val="28"/>
          <w:szCs w:val="28"/>
          <w:vertAlign w:val="superscript"/>
        </w:rPr>
        <w:t>3</w:t>
      </w:r>
      <w:r w:rsidRPr="00C71115">
        <w:rPr>
          <w:rFonts w:eastAsia="MS Mincho" w:cs="Times New Roman"/>
          <w:sz w:val="28"/>
          <w:szCs w:val="28"/>
        </w:rPr>
        <w:t>/</w:t>
      </w:r>
      <w:proofErr w:type="gramStart"/>
      <w:r w:rsidRPr="00C71115">
        <w:rPr>
          <w:rFonts w:eastAsia="MS Mincho" w:cs="Times New Roman"/>
          <w:sz w:val="28"/>
          <w:szCs w:val="28"/>
        </w:rPr>
        <w:t>s</w:t>
      </w:r>
      <w:proofErr w:type="gramEnd"/>
      <w:r w:rsidRPr="00C71115">
        <w:rPr>
          <w:rFonts w:eastAsia="MS Mincho" w:cs="Times New Roman"/>
          <w:sz w:val="28"/>
          <w:szCs w:val="28"/>
        </w:rPr>
        <w:t xml:space="preserve"> na faixa 1, considerada operação normal. Essa diferença, associada às medidas de racionalização do uso de água, a SABESP deverá buscar em outros mananciais alternativos cujas obras foram concluídas após a crise hídrica de 2014.</w:t>
      </w:r>
    </w:p>
    <w:p w14:paraId="6AFB7DA0" w14:textId="77777777" w:rsidR="00C06696" w:rsidRPr="00C71115" w:rsidRDefault="00C06696" w:rsidP="00C71115">
      <w:pPr>
        <w:numPr>
          <w:ilvl w:val="0"/>
          <w:numId w:val="45"/>
        </w:numPr>
        <w:spacing w:after="240" w:line="240" w:lineRule="auto"/>
        <w:ind w:left="584" w:hanging="227"/>
        <w:jc w:val="both"/>
        <w:rPr>
          <w:rFonts w:eastAsia="MS Mincho" w:cs="Times New Roman"/>
          <w:sz w:val="28"/>
          <w:szCs w:val="28"/>
        </w:rPr>
      </w:pPr>
      <w:r w:rsidRPr="00C71115">
        <w:rPr>
          <w:rFonts w:eastAsia="MS Mincho" w:cs="Times New Roman"/>
          <w:sz w:val="28"/>
          <w:szCs w:val="28"/>
        </w:rPr>
        <w:lastRenderedPageBreak/>
        <w:t>No a</w:t>
      </w:r>
      <w:proofErr w:type="spellStart"/>
      <w:r w:rsidRPr="00C71115">
        <w:rPr>
          <w:rFonts w:eastAsia="MS Mincho" w:cs="Times New Roman"/>
          <w:sz w:val="28"/>
          <w:szCs w:val="28"/>
          <w:lang w:val="x-none"/>
        </w:rPr>
        <w:t>rt</w:t>
      </w:r>
      <w:r w:rsidRPr="00C71115">
        <w:rPr>
          <w:rFonts w:eastAsia="MS Mincho" w:cs="Times New Roman"/>
          <w:sz w:val="28"/>
          <w:szCs w:val="28"/>
        </w:rPr>
        <w:t>igo</w:t>
      </w:r>
      <w:proofErr w:type="spellEnd"/>
      <w:r w:rsidRPr="00C71115">
        <w:rPr>
          <w:rFonts w:eastAsia="MS Mincho" w:cs="Times New Roman"/>
          <w:sz w:val="28"/>
          <w:szCs w:val="28"/>
          <w:lang w:val="x-none"/>
        </w:rPr>
        <w:t xml:space="preserve"> 4º</w:t>
      </w:r>
      <w:r w:rsidRPr="00C71115">
        <w:rPr>
          <w:rFonts w:eastAsia="MS Mincho" w:cs="Times New Roman"/>
          <w:sz w:val="28"/>
          <w:szCs w:val="28"/>
        </w:rPr>
        <w:t>, §4° foi estabelecido que “</w:t>
      </w:r>
      <w:r w:rsidRPr="00C71115">
        <w:rPr>
          <w:rFonts w:eastAsia="MS Mincho" w:cs="Times New Roman"/>
          <w:i/>
          <w:sz w:val="28"/>
          <w:szCs w:val="28"/>
        </w:rPr>
        <w:t xml:space="preserve">o limite de retirada pela SABESP para a Região Metropolitana de São Paulo na Estação Elevatória Santa Inês na Faixa 5 (Especial) poderá ser reduzido pelos órgãos gestores, caso o volume observado do Sistema Cantareira em determinado mês seja inferior aos volumes definidos para o mês correspondente na curva guia constante do Anexo II desta </w:t>
      </w:r>
      <w:proofErr w:type="gramStart"/>
      <w:r w:rsidRPr="00C71115">
        <w:rPr>
          <w:rFonts w:eastAsia="MS Mincho" w:cs="Times New Roman"/>
          <w:i/>
          <w:sz w:val="28"/>
          <w:szCs w:val="28"/>
        </w:rPr>
        <w:t>Resolução</w:t>
      </w:r>
      <w:r w:rsidRPr="00C71115">
        <w:rPr>
          <w:rFonts w:eastAsia="MS Mincho" w:cs="Times New Roman"/>
          <w:sz w:val="28"/>
          <w:szCs w:val="28"/>
        </w:rPr>
        <w:t>.”</w:t>
      </w:r>
      <w:proofErr w:type="gramEnd"/>
      <w:r w:rsidRPr="00C71115">
        <w:rPr>
          <w:rFonts w:eastAsia="MS Mincho" w:cs="Times New Roman"/>
          <w:sz w:val="28"/>
          <w:szCs w:val="28"/>
        </w:rPr>
        <w:t xml:space="preserve"> </w:t>
      </w:r>
    </w:p>
    <w:p w14:paraId="4D0F4894" w14:textId="77777777" w:rsidR="00C06696" w:rsidRPr="00C71115" w:rsidRDefault="00C06696" w:rsidP="00C71115">
      <w:pPr>
        <w:numPr>
          <w:ilvl w:val="0"/>
          <w:numId w:val="45"/>
        </w:numPr>
        <w:spacing w:after="240" w:line="240" w:lineRule="auto"/>
        <w:ind w:left="584" w:hanging="227"/>
        <w:jc w:val="both"/>
        <w:rPr>
          <w:rFonts w:eastAsia="MS Mincho" w:cs="Times New Roman"/>
          <w:sz w:val="28"/>
          <w:szCs w:val="28"/>
        </w:rPr>
      </w:pPr>
      <w:r w:rsidRPr="00C71115">
        <w:rPr>
          <w:rFonts w:eastAsia="MS Mincho" w:cs="Times New Roman"/>
          <w:sz w:val="28"/>
          <w:szCs w:val="28"/>
        </w:rPr>
        <w:t>E no § 5° desse mesmo artigo se diz que “</w:t>
      </w:r>
      <w:r w:rsidRPr="00C71115">
        <w:rPr>
          <w:rFonts w:eastAsia="MS Mincho" w:cs="Times New Roman"/>
          <w:i/>
          <w:sz w:val="28"/>
          <w:szCs w:val="28"/>
        </w:rPr>
        <w:t xml:space="preserve">Na eventualidade de um terceiro ano de operação contínua na Faixa 5 (Especial), o limite de retirada pela Sabesp para a Região Metropolitana de São Paulo na Estação Elevatória Santa Inês será definido pelos órgãos </w:t>
      </w:r>
      <w:proofErr w:type="gramStart"/>
      <w:r w:rsidRPr="00C71115">
        <w:rPr>
          <w:rFonts w:eastAsia="MS Mincho" w:cs="Times New Roman"/>
          <w:i/>
          <w:sz w:val="28"/>
          <w:szCs w:val="28"/>
        </w:rPr>
        <w:t>gestores</w:t>
      </w:r>
      <w:r w:rsidRPr="00C71115">
        <w:rPr>
          <w:rFonts w:eastAsia="MS Mincho" w:cs="Times New Roman"/>
          <w:sz w:val="28"/>
          <w:szCs w:val="28"/>
        </w:rPr>
        <w:t>.”</w:t>
      </w:r>
      <w:proofErr w:type="gramEnd"/>
      <w:r w:rsidRPr="00C71115">
        <w:rPr>
          <w:rFonts w:eastAsia="MS Mincho" w:cs="Times New Roman"/>
          <w:sz w:val="28"/>
          <w:szCs w:val="28"/>
        </w:rPr>
        <w:t xml:space="preserve"> Ou seja, hoje, as regras operacionais estabelecidas com a outorga renovada em 2017, contém dispositivos que dificultam a redução dos níveis operacionais abaixo de 20%. Por isso, somente em situações de crise hídrica extrema o Sistema Cantareira atingirá o nível operacional de 0%, a partir da qual será necessária a utilização da reserva técnica, como em 2014-15.</w:t>
      </w:r>
    </w:p>
    <w:p w14:paraId="5E602D81" w14:textId="77777777" w:rsidR="00C06696" w:rsidRPr="00C71115" w:rsidRDefault="00C06696" w:rsidP="00C71115">
      <w:pPr>
        <w:numPr>
          <w:ilvl w:val="0"/>
          <w:numId w:val="45"/>
        </w:numPr>
        <w:spacing w:after="240" w:line="240" w:lineRule="auto"/>
        <w:ind w:left="584" w:hanging="227"/>
        <w:jc w:val="both"/>
        <w:rPr>
          <w:rFonts w:eastAsia="MS Mincho" w:cs="Times New Roman"/>
          <w:sz w:val="28"/>
          <w:szCs w:val="28"/>
        </w:rPr>
      </w:pPr>
      <w:r w:rsidRPr="00C71115">
        <w:rPr>
          <w:rFonts w:eastAsia="MS Mincho" w:cs="Times New Roman"/>
          <w:sz w:val="28"/>
          <w:szCs w:val="28"/>
        </w:rPr>
        <w:t>Além disso, constata-se que hoje a RMSP está demandando dos mananciais superficiais, a vazão média anual de 60,7 m</w:t>
      </w:r>
      <w:r w:rsidRPr="00C71115">
        <w:rPr>
          <w:rFonts w:eastAsia="MS Mincho" w:cs="Times New Roman"/>
          <w:sz w:val="28"/>
          <w:szCs w:val="28"/>
          <w:vertAlign w:val="superscript"/>
        </w:rPr>
        <w:t>3</w:t>
      </w:r>
      <w:r w:rsidRPr="00C71115">
        <w:rPr>
          <w:rFonts w:eastAsia="MS Mincho" w:cs="Times New Roman"/>
          <w:sz w:val="28"/>
          <w:szCs w:val="28"/>
        </w:rPr>
        <w:t xml:space="preserve">/s (últimos 12 meses: maio/17 a </w:t>
      </w:r>
      <w:proofErr w:type="spellStart"/>
      <w:r w:rsidRPr="00C71115">
        <w:rPr>
          <w:rFonts w:eastAsia="MS Mincho" w:cs="Times New Roman"/>
          <w:sz w:val="28"/>
          <w:szCs w:val="28"/>
        </w:rPr>
        <w:t>jun</w:t>
      </w:r>
      <w:proofErr w:type="spellEnd"/>
      <w:r w:rsidRPr="00C71115">
        <w:rPr>
          <w:rFonts w:eastAsia="MS Mincho" w:cs="Times New Roman"/>
          <w:sz w:val="28"/>
          <w:szCs w:val="28"/>
        </w:rPr>
        <w:t>/18), o que significa 10,7 m</w:t>
      </w:r>
      <w:r w:rsidRPr="00C71115">
        <w:rPr>
          <w:rFonts w:eastAsia="MS Mincho" w:cs="Times New Roman"/>
          <w:sz w:val="28"/>
          <w:szCs w:val="28"/>
          <w:vertAlign w:val="superscript"/>
        </w:rPr>
        <w:t>3</w:t>
      </w:r>
      <w:r w:rsidRPr="00C71115">
        <w:rPr>
          <w:rFonts w:eastAsia="MS Mincho" w:cs="Times New Roman"/>
          <w:sz w:val="28"/>
          <w:szCs w:val="28"/>
        </w:rPr>
        <w:t xml:space="preserve">/s a menos que </w:t>
      </w:r>
      <w:proofErr w:type="spellStart"/>
      <w:r w:rsidRPr="00C71115">
        <w:rPr>
          <w:rFonts w:eastAsia="MS Mincho" w:cs="Times New Roman"/>
          <w:sz w:val="28"/>
          <w:szCs w:val="28"/>
        </w:rPr>
        <w:t>fev</w:t>
      </w:r>
      <w:proofErr w:type="spellEnd"/>
      <w:r w:rsidRPr="00C71115">
        <w:rPr>
          <w:rFonts w:eastAsia="MS Mincho" w:cs="Times New Roman"/>
          <w:sz w:val="28"/>
          <w:szCs w:val="28"/>
        </w:rPr>
        <w:t>/2014 (71,4 m</w:t>
      </w:r>
      <w:r w:rsidRPr="00C71115">
        <w:rPr>
          <w:rFonts w:eastAsia="MS Mincho" w:cs="Times New Roman"/>
          <w:sz w:val="28"/>
          <w:szCs w:val="28"/>
          <w:vertAlign w:val="superscript"/>
        </w:rPr>
        <w:t>3</w:t>
      </w:r>
      <w:r w:rsidRPr="00C71115">
        <w:rPr>
          <w:rFonts w:eastAsia="MS Mincho" w:cs="Times New Roman"/>
          <w:sz w:val="28"/>
          <w:szCs w:val="28"/>
        </w:rPr>
        <w:t>/s) quando se iniciou as reduções de retiradas do Sistema Cantareira devido à crise hídrica (ver ilustração a seguir). Mesmo após a normalização no abastecimento de água, verifica-se que as demandas de água no Sistema Integrado da RMSP estão estacionadas em torno de 61 m</w:t>
      </w:r>
      <w:r w:rsidRPr="00C71115">
        <w:rPr>
          <w:rFonts w:eastAsia="MS Mincho" w:cs="Times New Roman"/>
          <w:sz w:val="28"/>
          <w:szCs w:val="28"/>
          <w:vertAlign w:val="superscript"/>
        </w:rPr>
        <w:t>3</w:t>
      </w:r>
      <w:r w:rsidRPr="00C71115">
        <w:rPr>
          <w:rFonts w:eastAsia="MS Mincho" w:cs="Times New Roman"/>
          <w:sz w:val="28"/>
          <w:szCs w:val="28"/>
        </w:rPr>
        <w:t>/s devido aos efeitos conjugados de redução de consumo de água pela população, mudanças de hábitos, incremento de uso de água subterrânea, dentre outros motivos. Ou seja, hoje a RMSP está consumindo cerca de 11 m</w:t>
      </w:r>
      <w:r w:rsidRPr="00C71115">
        <w:rPr>
          <w:rFonts w:eastAsia="MS Mincho" w:cs="Times New Roman"/>
          <w:sz w:val="28"/>
          <w:szCs w:val="28"/>
          <w:vertAlign w:val="superscript"/>
        </w:rPr>
        <w:t>3</w:t>
      </w:r>
      <w:r w:rsidRPr="00C71115">
        <w:rPr>
          <w:rFonts w:eastAsia="MS Mincho" w:cs="Times New Roman"/>
          <w:sz w:val="28"/>
          <w:szCs w:val="28"/>
        </w:rPr>
        <w:t>/</w:t>
      </w:r>
      <w:proofErr w:type="gramStart"/>
      <w:r w:rsidRPr="00C71115">
        <w:rPr>
          <w:rFonts w:eastAsia="MS Mincho" w:cs="Times New Roman"/>
          <w:sz w:val="28"/>
          <w:szCs w:val="28"/>
        </w:rPr>
        <w:t>s</w:t>
      </w:r>
      <w:proofErr w:type="gramEnd"/>
      <w:r w:rsidRPr="00C71115">
        <w:rPr>
          <w:rFonts w:eastAsia="MS Mincho" w:cs="Times New Roman"/>
          <w:sz w:val="28"/>
          <w:szCs w:val="28"/>
        </w:rPr>
        <w:t xml:space="preserve"> de água a menos que a situação existente no período antes da crise hídrica de 2014.</w:t>
      </w:r>
    </w:p>
    <w:tbl>
      <w:tblPr>
        <w:tblW w:w="0" w:type="auto"/>
        <w:tblLook w:val="04A0" w:firstRow="1" w:lastRow="0" w:firstColumn="1" w:lastColumn="0" w:noHBand="0" w:noVBand="1"/>
      </w:tblPr>
      <w:tblGrid>
        <w:gridCol w:w="9496"/>
      </w:tblGrid>
      <w:tr w:rsidR="00C06696" w:rsidRPr="00C71115" w14:paraId="6E70C7A2" w14:textId="77777777" w:rsidTr="00C06696">
        <w:tc>
          <w:tcPr>
            <w:tcW w:w="9636" w:type="dxa"/>
            <w:shd w:val="clear" w:color="auto" w:fill="auto"/>
          </w:tcPr>
          <w:p w14:paraId="2ABEA29A" w14:textId="19C44F43"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noProof/>
                <w:sz w:val="28"/>
                <w:szCs w:val="28"/>
              </w:rPr>
              <w:lastRenderedPageBreak/>
              <w:drawing>
                <wp:inline distT="0" distB="0" distL="0" distR="0" wp14:anchorId="0CB1E4E8" wp14:editId="75D22437">
                  <wp:extent cx="5610225" cy="36290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p>
        </w:tc>
      </w:tr>
      <w:tr w:rsidR="00C06696" w:rsidRPr="00C71115" w14:paraId="6F4AFAE8" w14:textId="77777777" w:rsidTr="00C06696">
        <w:tc>
          <w:tcPr>
            <w:tcW w:w="9636" w:type="dxa"/>
            <w:shd w:val="clear" w:color="auto" w:fill="auto"/>
          </w:tcPr>
          <w:p w14:paraId="77A77BF2" w14:textId="77777777" w:rsidR="00C06696" w:rsidRPr="00C71115" w:rsidRDefault="00C06696" w:rsidP="00C71115">
            <w:pPr>
              <w:spacing w:after="360" w:line="240" w:lineRule="auto"/>
              <w:ind w:left="624"/>
              <w:jc w:val="both"/>
              <w:rPr>
                <w:rFonts w:eastAsia="MS Mincho" w:cs="Times New Roman"/>
                <w:sz w:val="28"/>
                <w:szCs w:val="28"/>
              </w:rPr>
            </w:pPr>
            <w:r w:rsidRPr="00C71115">
              <w:rPr>
                <w:rFonts w:eastAsia="MS Mincho" w:cs="Times New Roman"/>
                <w:sz w:val="28"/>
                <w:szCs w:val="28"/>
              </w:rPr>
              <w:t>Fonte: Boletim de mananciais da SABESP</w:t>
            </w:r>
          </w:p>
        </w:tc>
      </w:tr>
    </w:tbl>
    <w:p w14:paraId="2A888A32" w14:textId="77777777" w:rsidR="00C06696" w:rsidRPr="00C71115" w:rsidRDefault="00C06696" w:rsidP="00C71115">
      <w:pPr>
        <w:numPr>
          <w:ilvl w:val="0"/>
          <w:numId w:val="45"/>
        </w:numPr>
        <w:spacing w:after="120" w:line="240" w:lineRule="auto"/>
        <w:ind w:left="584" w:hanging="227"/>
        <w:jc w:val="both"/>
        <w:rPr>
          <w:rFonts w:eastAsia="MS Mincho" w:cs="Times New Roman"/>
          <w:sz w:val="28"/>
          <w:szCs w:val="28"/>
        </w:rPr>
      </w:pPr>
      <w:r w:rsidRPr="00C71115">
        <w:rPr>
          <w:rFonts w:eastAsia="MS Mincho" w:cs="Times New Roman"/>
          <w:sz w:val="28"/>
          <w:szCs w:val="28"/>
        </w:rPr>
        <w:t xml:space="preserve">As principais obras programadas pela SABESP, de alternativas adicionais de suprimento de água para a RMSP (não existentes em 2014) e de aumento de segurança hídrica, já estão concluídas destacando-se: </w:t>
      </w:r>
    </w:p>
    <w:p w14:paraId="532A7A01"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t xml:space="preserve">Interligação dos reservatórios </w:t>
      </w:r>
      <w:proofErr w:type="spellStart"/>
      <w:r w:rsidRPr="00C71115">
        <w:rPr>
          <w:rFonts w:eastAsia="MS Mincho" w:cs="Times New Roman"/>
          <w:sz w:val="28"/>
          <w:szCs w:val="28"/>
        </w:rPr>
        <w:t>Jaguari</w:t>
      </w:r>
      <w:proofErr w:type="spellEnd"/>
      <w:r w:rsidRPr="00C71115">
        <w:rPr>
          <w:rFonts w:eastAsia="MS Mincho" w:cs="Times New Roman"/>
          <w:sz w:val="28"/>
          <w:szCs w:val="28"/>
        </w:rPr>
        <w:t xml:space="preserve"> (Paraíba do Sul) e Atibainha (Sistema Cantareira), com capacidade de transferência outorgada pelo DAEE, de 5,13 m³/s (média anual), podendo chegar à vazão máxima de 8,5 m³/s e atualmente em fase de testes operacionais.</w:t>
      </w:r>
    </w:p>
    <w:p w14:paraId="1F974A0A"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t>Sistema Produtor São Lourenço - SPSL, com captação no reservatório Cachoeira do França (Bacia do Alto Juquiá), está atualmente em fase de pré-operação para reforço ao abastecimento da zona oeste da RMSP, e foi concebido para uma vazão média de 4,7 m³/s, podendo atingir até 6,4 m³/s.</w:t>
      </w:r>
    </w:p>
    <w:p w14:paraId="0A0014AA"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t xml:space="preserve">Obras de bombeamento das águas do braço do Rio Pequeno para o braço do Rio Grande (ambos na represa Billings), e em sequência, para o reservatório </w:t>
      </w:r>
      <w:proofErr w:type="spellStart"/>
      <w:r w:rsidRPr="00C71115">
        <w:rPr>
          <w:rFonts w:eastAsia="MS Mincho" w:cs="Times New Roman"/>
          <w:sz w:val="28"/>
          <w:szCs w:val="28"/>
        </w:rPr>
        <w:t>Taiaçupeba</w:t>
      </w:r>
      <w:proofErr w:type="spellEnd"/>
      <w:r w:rsidRPr="00C71115">
        <w:rPr>
          <w:rFonts w:eastAsia="MS Mincho" w:cs="Times New Roman"/>
          <w:sz w:val="28"/>
          <w:szCs w:val="28"/>
        </w:rPr>
        <w:t>, do Sistema Produtor Alto Tietê, com capacidade de até 4,0 m³/s.</w:t>
      </w:r>
    </w:p>
    <w:p w14:paraId="4025659F"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t>Ampliação da capacidade de bombeamento na EEAB Guaratuba (Sistema rio Claro, no Alto Tietê) da ordem de 0,5 m³/s;</w:t>
      </w:r>
    </w:p>
    <w:p w14:paraId="75B85083"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t>Bombeamento de até 1 m³/</w:t>
      </w:r>
      <w:proofErr w:type="gramStart"/>
      <w:r w:rsidRPr="00C71115">
        <w:rPr>
          <w:rFonts w:eastAsia="MS Mincho" w:cs="Times New Roman"/>
          <w:sz w:val="28"/>
          <w:szCs w:val="28"/>
        </w:rPr>
        <w:t>s</w:t>
      </w:r>
      <w:proofErr w:type="gramEnd"/>
      <w:r w:rsidRPr="00C71115">
        <w:rPr>
          <w:rFonts w:eastAsia="MS Mincho" w:cs="Times New Roman"/>
          <w:sz w:val="28"/>
          <w:szCs w:val="28"/>
        </w:rPr>
        <w:t xml:space="preserve"> do rio </w:t>
      </w:r>
      <w:proofErr w:type="spellStart"/>
      <w:r w:rsidRPr="00C71115">
        <w:rPr>
          <w:rFonts w:eastAsia="MS Mincho" w:cs="Times New Roman"/>
          <w:sz w:val="28"/>
          <w:szCs w:val="28"/>
        </w:rPr>
        <w:t>Guaió</w:t>
      </w:r>
      <w:proofErr w:type="spellEnd"/>
      <w:r w:rsidRPr="00C71115">
        <w:rPr>
          <w:rFonts w:eastAsia="MS Mincho" w:cs="Times New Roman"/>
          <w:sz w:val="28"/>
          <w:szCs w:val="28"/>
        </w:rPr>
        <w:t xml:space="preserve"> para a represa </w:t>
      </w:r>
      <w:proofErr w:type="spellStart"/>
      <w:r w:rsidRPr="00C71115">
        <w:rPr>
          <w:rFonts w:eastAsia="MS Mincho" w:cs="Times New Roman"/>
          <w:sz w:val="28"/>
          <w:szCs w:val="28"/>
        </w:rPr>
        <w:t>Taiaçupeba</w:t>
      </w:r>
      <w:proofErr w:type="spellEnd"/>
      <w:r w:rsidRPr="00C71115">
        <w:rPr>
          <w:rFonts w:eastAsia="MS Mincho" w:cs="Times New Roman"/>
          <w:sz w:val="28"/>
          <w:szCs w:val="28"/>
        </w:rPr>
        <w:t>, do Sistema Produtor Alto Tietê;</w:t>
      </w:r>
    </w:p>
    <w:p w14:paraId="3AF5A3EE" w14:textId="77777777" w:rsidR="00C06696" w:rsidRPr="00C71115" w:rsidRDefault="00C06696" w:rsidP="00C71115">
      <w:pPr>
        <w:numPr>
          <w:ilvl w:val="0"/>
          <w:numId w:val="49"/>
        </w:numPr>
        <w:spacing w:after="120" w:line="240" w:lineRule="auto"/>
        <w:ind w:left="1021" w:hanging="170"/>
        <w:jc w:val="both"/>
        <w:rPr>
          <w:rFonts w:eastAsia="MS Mincho" w:cs="Times New Roman"/>
          <w:sz w:val="28"/>
          <w:szCs w:val="28"/>
        </w:rPr>
      </w:pPr>
      <w:r w:rsidRPr="00C71115">
        <w:rPr>
          <w:rFonts w:eastAsia="MS Mincho" w:cs="Times New Roman"/>
          <w:sz w:val="28"/>
          <w:szCs w:val="28"/>
        </w:rPr>
        <w:lastRenderedPageBreak/>
        <w:t xml:space="preserve">Ampliação da capacidade de bombeamento do braço do </w:t>
      </w:r>
      <w:proofErr w:type="spellStart"/>
      <w:r w:rsidRPr="00C71115">
        <w:rPr>
          <w:rFonts w:eastAsia="MS Mincho" w:cs="Times New Roman"/>
          <w:sz w:val="28"/>
          <w:szCs w:val="28"/>
        </w:rPr>
        <w:t>Taquacetuba</w:t>
      </w:r>
      <w:proofErr w:type="spellEnd"/>
      <w:r w:rsidRPr="00C71115">
        <w:rPr>
          <w:rFonts w:eastAsia="MS Mincho" w:cs="Times New Roman"/>
          <w:sz w:val="28"/>
          <w:szCs w:val="28"/>
        </w:rPr>
        <w:t xml:space="preserve"> (Billings) para a represa Guarapiranga em 0,5 m³/s e ampliação da capacidade tratamento da ETA ABV de 15 para 16 m³/s.</w:t>
      </w:r>
    </w:p>
    <w:p w14:paraId="7C9EC27D" w14:textId="77777777" w:rsidR="00C06696" w:rsidRPr="00C71115" w:rsidRDefault="00C06696" w:rsidP="00C71115">
      <w:pPr>
        <w:numPr>
          <w:ilvl w:val="0"/>
          <w:numId w:val="49"/>
        </w:numPr>
        <w:spacing w:after="240" w:line="240" w:lineRule="auto"/>
        <w:ind w:left="1021" w:hanging="170"/>
        <w:jc w:val="both"/>
        <w:rPr>
          <w:rFonts w:eastAsia="MS Mincho" w:cs="Times New Roman"/>
          <w:sz w:val="28"/>
          <w:szCs w:val="28"/>
        </w:rPr>
      </w:pPr>
      <w:r w:rsidRPr="00C71115">
        <w:rPr>
          <w:rFonts w:eastAsia="MS Mincho" w:cs="Times New Roman"/>
          <w:sz w:val="28"/>
          <w:szCs w:val="28"/>
        </w:rPr>
        <w:t>Obras diversas de aumento da capacidade de transferência de águas entre os sistemas produtores.</w:t>
      </w:r>
    </w:p>
    <w:p w14:paraId="71983E3A"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Observa-se, portanto, que as condições atuais de maior disponibilidade hídrica nos mananciais e da maior capacidade de transferência de águas entre os sistemas produtores, associada à menor demanda de água na RMSP e às novas regras operacionais dos reservatórios do Sistema Cantareira, por faixas, conferem maior segurança hídrica quando comparada com a situação anterior à de 2014.</w:t>
      </w:r>
    </w:p>
    <w:p w14:paraId="78982AF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 xml:space="preserve">Não obstante </w:t>
      </w:r>
      <w:proofErr w:type="spellStart"/>
      <w:r w:rsidRPr="00C71115">
        <w:rPr>
          <w:rFonts w:eastAsia="MS Mincho" w:cs="Times New Roman"/>
          <w:sz w:val="28"/>
          <w:szCs w:val="28"/>
        </w:rPr>
        <w:t>esta</w:t>
      </w:r>
      <w:proofErr w:type="spellEnd"/>
      <w:r w:rsidRPr="00C71115">
        <w:rPr>
          <w:rFonts w:eastAsia="MS Mincho" w:cs="Times New Roman"/>
          <w:sz w:val="28"/>
          <w:szCs w:val="28"/>
        </w:rPr>
        <w:t xml:space="preserve"> maior segurança comparada com a situação de 2014, o Plano de Mobilização para utilização da Reserva Técnica, apresentado pela SABESP em atendimento ao artigo 12 da Resolução Conjunta ANA/DAEE nº 926, prevê os seguintes passos, caso outra situação de crise hídrica venha a se repetir.</w:t>
      </w:r>
    </w:p>
    <w:p w14:paraId="00B5DF64" w14:textId="77777777" w:rsidR="00C06696" w:rsidRPr="00C71115" w:rsidRDefault="00C06696" w:rsidP="00C71115">
      <w:pPr>
        <w:spacing w:after="240" w:line="240" w:lineRule="auto"/>
        <w:jc w:val="both"/>
        <w:rPr>
          <w:rFonts w:eastAsia="MS Mincho" w:cs="Times New Roman"/>
          <w:sz w:val="28"/>
          <w:szCs w:val="28"/>
        </w:rPr>
      </w:pPr>
    </w:p>
    <w:p w14:paraId="5C47AAB6"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13" w:name="_Toc519069555"/>
      <w:r w:rsidRPr="00C71115">
        <w:rPr>
          <w:rFonts w:eastAsia="Times New Roman" w:cs="Times New Roman"/>
          <w:b/>
          <w:bCs/>
          <w:iCs/>
          <w:sz w:val="28"/>
          <w:szCs w:val="28"/>
        </w:rPr>
        <w:t>3.3. O Plano de Mobilização para Utilização da Reserva Técnica</w:t>
      </w:r>
      <w:bookmarkEnd w:id="13"/>
    </w:p>
    <w:p w14:paraId="446CE87A"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Estão previstos pela SABESP os seguintes procedimentos a serem gradativamente implementados:</w:t>
      </w:r>
    </w:p>
    <w:p w14:paraId="211F65E4"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Início da mobilização, que ocorrerá somente com volume útil do Sistema Cantareira na faixa 5 (Especial) ou seja, com volume útil do sistema equivalente inferior a 20% (da ordem de ~ 196,4 hm³). </w:t>
      </w:r>
    </w:p>
    <w:p w14:paraId="4C949FF0"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Nesta condição inicia-se a mobilização das instalações das reservas técnicas dos reservatórios Jacareí e Atibainha conforme descrito no fluxograma a seguir. </w:t>
      </w:r>
    </w:p>
    <w:p w14:paraId="7CC8984B"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O tempo estimado entre o início da mobilização e a disponibilização para a operação dos conjuntos flutuantes é de 120 dias e depende, entre outros fatores, dos tempos de liberação das licenças ambientais para instalação dos geradores e tanques de combustível nas áreas de captação bem como das autorizações dos órgãos gestores ANA/DAEE. </w:t>
      </w:r>
    </w:p>
    <w:p w14:paraId="36877AD8"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A partir do momento que o plano de mobilização para a utilização das reservas técnicas é iniciado, maximiza-se a transferência de água bruta do reservatório Jacareí para os reservatórios à jusante (Cachoeira e Atibainha), com o intuito de rebaixar o nível do mesmo para recebimento das estruturas de captação.</w:t>
      </w:r>
    </w:p>
    <w:p w14:paraId="06808537"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Paralelamente iniciam-se os processos de Contratação de: </w:t>
      </w:r>
    </w:p>
    <w:p w14:paraId="0B83532B"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lastRenderedPageBreak/>
        <w:t xml:space="preserve">(i) Locação de abrigos para equipamentos; </w:t>
      </w:r>
    </w:p>
    <w:p w14:paraId="481A5756"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ii</w:t>
      </w:r>
      <w:proofErr w:type="spellEnd"/>
      <w:r w:rsidRPr="00C71115">
        <w:rPr>
          <w:rFonts w:eastAsia="Calibri" w:cs="Times New Roman"/>
          <w:color w:val="000000"/>
          <w:sz w:val="28"/>
          <w:szCs w:val="28"/>
        </w:rPr>
        <w:t xml:space="preserve">) Locação de geradores de emergência; </w:t>
      </w:r>
    </w:p>
    <w:p w14:paraId="3595595B"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iii</w:t>
      </w:r>
      <w:proofErr w:type="spellEnd"/>
      <w:r w:rsidRPr="00C71115">
        <w:rPr>
          <w:rFonts w:eastAsia="Calibri" w:cs="Times New Roman"/>
          <w:color w:val="000000"/>
          <w:sz w:val="28"/>
          <w:szCs w:val="28"/>
        </w:rPr>
        <w:t xml:space="preserve">) Fornecimento de combustível; </w:t>
      </w:r>
    </w:p>
    <w:p w14:paraId="3D91CD1A"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iv</w:t>
      </w:r>
      <w:proofErr w:type="spellEnd"/>
      <w:r w:rsidRPr="00C71115">
        <w:rPr>
          <w:rFonts w:eastAsia="Calibri" w:cs="Times New Roman"/>
          <w:color w:val="000000"/>
          <w:sz w:val="28"/>
          <w:szCs w:val="28"/>
        </w:rPr>
        <w:t xml:space="preserve">) Alocação/aquisição de cabeamento; </w:t>
      </w:r>
    </w:p>
    <w:p w14:paraId="1D763E81"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(v) Manutenção de canal submerso no reservatório Jacareí e manutenção civil.</w:t>
      </w:r>
    </w:p>
    <w:p w14:paraId="5C48AF75"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E também o processo de preparação e revisão dos equipamentos que serão utilizados, como: </w:t>
      </w:r>
    </w:p>
    <w:p w14:paraId="6B7FF81D"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 xml:space="preserve">(i) </w:t>
      </w:r>
      <w:proofErr w:type="spellStart"/>
      <w:r w:rsidRPr="00C71115">
        <w:rPr>
          <w:rFonts w:eastAsia="Calibri" w:cs="Times New Roman"/>
          <w:color w:val="000000"/>
          <w:sz w:val="28"/>
          <w:szCs w:val="28"/>
        </w:rPr>
        <w:t>Motobombas</w:t>
      </w:r>
      <w:proofErr w:type="spellEnd"/>
      <w:r w:rsidRPr="00C71115">
        <w:rPr>
          <w:rFonts w:eastAsia="Calibri" w:cs="Times New Roman"/>
          <w:color w:val="000000"/>
          <w:sz w:val="28"/>
          <w:szCs w:val="28"/>
        </w:rPr>
        <w:t xml:space="preserve"> flutuantes; </w:t>
      </w:r>
    </w:p>
    <w:p w14:paraId="275E5DDB"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ii</w:t>
      </w:r>
      <w:proofErr w:type="spellEnd"/>
      <w:r w:rsidRPr="00C71115">
        <w:rPr>
          <w:rFonts w:eastAsia="Calibri" w:cs="Times New Roman"/>
          <w:color w:val="000000"/>
          <w:sz w:val="28"/>
          <w:szCs w:val="28"/>
        </w:rPr>
        <w:t xml:space="preserve">) Inversores de frequência; </w:t>
      </w:r>
    </w:p>
    <w:p w14:paraId="6A4374FF"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iii</w:t>
      </w:r>
      <w:proofErr w:type="spellEnd"/>
      <w:r w:rsidRPr="00C71115">
        <w:rPr>
          <w:rFonts w:eastAsia="Calibri" w:cs="Times New Roman"/>
          <w:color w:val="000000"/>
          <w:sz w:val="28"/>
          <w:szCs w:val="28"/>
        </w:rPr>
        <w:t xml:space="preserve">) Quadros de distribuição de energia; </w:t>
      </w:r>
    </w:p>
    <w:p w14:paraId="38EC3DB1" w14:textId="77777777" w:rsidR="00C06696" w:rsidRPr="00C71115" w:rsidRDefault="00C06696" w:rsidP="00C71115">
      <w:pPr>
        <w:shd w:val="clear" w:color="auto" w:fill="FFFFFF"/>
        <w:spacing w:after="120" w:line="240" w:lineRule="auto"/>
        <w:ind w:left="1077"/>
        <w:jc w:val="both"/>
        <w:rPr>
          <w:rFonts w:eastAsia="Calibri" w:cs="Times New Roman"/>
          <w:color w:val="000000"/>
          <w:sz w:val="28"/>
          <w:szCs w:val="28"/>
        </w:rPr>
      </w:pPr>
      <w:r w:rsidRPr="00C71115">
        <w:rPr>
          <w:rFonts w:eastAsia="Calibri" w:cs="Times New Roman"/>
          <w:color w:val="000000"/>
          <w:sz w:val="28"/>
          <w:szCs w:val="28"/>
        </w:rPr>
        <w:t>(</w:t>
      </w:r>
      <w:proofErr w:type="spellStart"/>
      <w:r w:rsidRPr="00C71115">
        <w:rPr>
          <w:rFonts w:eastAsia="Calibri" w:cs="Times New Roman"/>
          <w:color w:val="000000"/>
          <w:sz w:val="28"/>
          <w:szCs w:val="28"/>
        </w:rPr>
        <w:t>iv</w:t>
      </w:r>
      <w:proofErr w:type="spellEnd"/>
      <w:r w:rsidRPr="00C71115">
        <w:rPr>
          <w:rFonts w:eastAsia="Calibri" w:cs="Times New Roman"/>
          <w:color w:val="000000"/>
          <w:sz w:val="28"/>
          <w:szCs w:val="28"/>
        </w:rPr>
        <w:t>) Transformadores auxiliares.</w:t>
      </w:r>
    </w:p>
    <w:p w14:paraId="5A078E15"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Após as etapas acima se inicia a montagem e testes das instalações no reservatório Jacareí, junto ao emboque do túnel 7, quando o nível deste reservatório for inferior à cota 825,00 m. </w:t>
      </w:r>
    </w:p>
    <w:p w14:paraId="6EE2B336"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Quando o reservatório Jacareí</w:t>
      </w:r>
      <w:r w:rsidRPr="00C71115" w:rsidDel="00256CC8">
        <w:rPr>
          <w:rFonts w:eastAsia="Calibri" w:cs="Times New Roman"/>
          <w:color w:val="000000"/>
          <w:sz w:val="28"/>
          <w:szCs w:val="28"/>
        </w:rPr>
        <w:t xml:space="preserve"> </w:t>
      </w:r>
      <w:r w:rsidRPr="00C71115">
        <w:rPr>
          <w:rFonts w:eastAsia="Calibri" w:cs="Times New Roman"/>
          <w:color w:val="000000"/>
          <w:sz w:val="28"/>
          <w:szCs w:val="28"/>
        </w:rPr>
        <w:t xml:space="preserve">atingir a cota 820,80 </w:t>
      </w:r>
      <w:proofErr w:type="gramStart"/>
      <w:r w:rsidRPr="00C71115">
        <w:rPr>
          <w:rFonts w:eastAsia="Calibri" w:cs="Times New Roman"/>
          <w:color w:val="000000"/>
          <w:sz w:val="28"/>
          <w:szCs w:val="28"/>
        </w:rPr>
        <w:t>m</w:t>
      </w:r>
      <w:proofErr w:type="gramEnd"/>
      <w:r w:rsidRPr="00C71115">
        <w:rPr>
          <w:rFonts w:eastAsia="Calibri" w:cs="Times New Roman"/>
          <w:color w:val="000000"/>
          <w:sz w:val="28"/>
          <w:szCs w:val="28"/>
        </w:rPr>
        <w:t xml:space="preserve"> inicia-se a operação de bombeamento desta reserva, objetivando incrementar os níveis dos reservatórios à jusante (Cachoeira e Atibainha).</w:t>
      </w:r>
    </w:p>
    <w:p w14:paraId="0A021AED"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Consecutivamente, se o nível do reservatório Atibainha sofrer o processo de rebaixamento para níveis inferiores à cota 783,00 m, inicia-se a montagem e testes das instalações no reservatório Atibainha. </w:t>
      </w:r>
    </w:p>
    <w:p w14:paraId="0DCFB6C4"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Quando o reservatório Atibainha</w:t>
      </w:r>
      <w:r w:rsidRPr="00C71115" w:rsidDel="00E91256">
        <w:rPr>
          <w:rFonts w:eastAsia="Calibri" w:cs="Times New Roman"/>
          <w:color w:val="000000"/>
          <w:sz w:val="28"/>
          <w:szCs w:val="28"/>
        </w:rPr>
        <w:t xml:space="preserve"> </w:t>
      </w:r>
      <w:r w:rsidRPr="00C71115">
        <w:rPr>
          <w:rFonts w:eastAsia="Calibri" w:cs="Times New Roman"/>
          <w:color w:val="000000"/>
          <w:sz w:val="28"/>
          <w:szCs w:val="28"/>
        </w:rPr>
        <w:t xml:space="preserve">atingir a cota 781,88 </w:t>
      </w:r>
      <w:proofErr w:type="gramStart"/>
      <w:r w:rsidRPr="00C71115">
        <w:rPr>
          <w:rFonts w:eastAsia="Calibri" w:cs="Times New Roman"/>
          <w:color w:val="000000"/>
          <w:sz w:val="28"/>
          <w:szCs w:val="28"/>
        </w:rPr>
        <w:t>m</w:t>
      </w:r>
      <w:proofErr w:type="gramEnd"/>
      <w:r w:rsidRPr="00C71115">
        <w:rPr>
          <w:rFonts w:eastAsia="Calibri" w:cs="Times New Roman"/>
          <w:color w:val="000000"/>
          <w:sz w:val="28"/>
          <w:szCs w:val="28"/>
        </w:rPr>
        <w:t xml:space="preserve"> inicia-se a operação de bombeamento desta reserva.</w:t>
      </w:r>
    </w:p>
    <w:p w14:paraId="74A3274F"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Se as afluências ao Sistema Cantareira continuarem baixas e o reservatório Jacareí atingir um nível inferior à cota 820,00 m, inicia-se a montagem e testes das instalações de captação do corpo do reservatório (Jacareí II). </w:t>
      </w:r>
    </w:p>
    <w:p w14:paraId="3228050D"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A utilização da reserva técnica II do Jacareí é mais complexa e implica na dragagem e escavação de um canal de aproximadamente 5.000 metros até o local de um dique construído no corpo do reservatório. </w:t>
      </w:r>
    </w:p>
    <w:p w14:paraId="4456873C"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 xml:space="preserve">Esse canal já existe e foi utilizado durante a crise hídrica 2014-15 havendo necessidade de inspecioná-lo para verificar os serviços adicionais necessários para a sua reativação. </w:t>
      </w:r>
    </w:p>
    <w:p w14:paraId="468ED586"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lastRenderedPageBreak/>
        <w:t xml:space="preserve">No dique do corpo do reservatório do Jacareí seriam instaladas 10 </w:t>
      </w:r>
      <w:proofErr w:type="spellStart"/>
      <w:r w:rsidRPr="00C71115">
        <w:rPr>
          <w:rFonts w:eastAsia="Calibri" w:cs="Times New Roman"/>
          <w:color w:val="000000"/>
          <w:sz w:val="28"/>
          <w:szCs w:val="28"/>
        </w:rPr>
        <w:t>motobombas</w:t>
      </w:r>
      <w:proofErr w:type="spellEnd"/>
      <w:r w:rsidRPr="00C71115">
        <w:rPr>
          <w:rFonts w:eastAsia="Calibri" w:cs="Times New Roman"/>
          <w:color w:val="000000"/>
          <w:sz w:val="28"/>
          <w:szCs w:val="28"/>
        </w:rPr>
        <w:t xml:space="preserve"> flutuantes. Assim, a utilização da reserva técnica Jacareí II resultará de duplo bombeamento.</w:t>
      </w:r>
    </w:p>
    <w:p w14:paraId="70A24F84" w14:textId="77777777" w:rsidR="00C06696" w:rsidRPr="00C71115" w:rsidRDefault="00C06696" w:rsidP="00C71115">
      <w:pPr>
        <w:numPr>
          <w:ilvl w:val="0"/>
          <w:numId w:val="41"/>
        </w:numPr>
        <w:shd w:val="clear" w:color="auto" w:fill="FFFFFF"/>
        <w:spacing w:after="120" w:line="240" w:lineRule="auto"/>
        <w:ind w:left="584" w:hanging="227"/>
        <w:jc w:val="both"/>
        <w:rPr>
          <w:rFonts w:eastAsia="Calibri" w:cs="Times New Roman"/>
          <w:color w:val="000000"/>
          <w:sz w:val="28"/>
          <w:szCs w:val="28"/>
        </w:rPr>
      </w:pPr>
      <w:r w:rsidRPr="00C71115">
        <w:rPr>
          <w:rFonts w:eastAsia="Calibri" w:cs="Times New Roman"/>
          <w:color w:val="000000"/>
          <w:sz w:val="28"/>
          <w:szCs w:val="28"/>
        </w:rPr>
        <w:t>Havendo incremento dos níveis dos reservatórios Jacareí e Atibainha que afetem as instalações de captação, imediatamente será desmobilizada a estrutura.</w:t>
      </w:r>
    </w:p>
    <w:p w14:paraId="1DD172FE" w14:textId="77777777" w:rsidR="00C06696" w:rsidRPr="00C71115" w:rsidRDefault="00C06696" w:rsidP="00C71115">
      <w:pPr>
        <w:spacing w:before="120" w:after="240" w:line="240" w:lineRule="auto"/>
        <w:jc w:val="both"/>
        <w:rPr>
          <w:rFonts w:eastAsia="MS Mincho" w:cs="Times New Roman"/>
          <w:sz w:val="28"/>
          <w:szCs w:val="28"/>
        </w:rPr>
      </w:pPr>
      <w:r w:rsidRPr="00C71115">
        <w:rPr>
          <w:rFonts w:eastAsia="MS Mincho" w:cs="Times New Roman"/>
          <w:sz w:val="28"/>
          <w:szCs w:val="28"/>
        </w:rPr>
        <w:t>O fluxograma a seguir, extraído do relatório da SABESP (pág. 23), ilustra os procedimentos acima descritos.</w:t>
      </w:r>
    </w:p>
    <w:p w14:paraId="07352D74" w14:textId="77777777" w:rsidR="00C06696" w:rsidRPr="00C71115" w:rsidRDefault="00C06696" w:rsidP="00C71115">
      <w:pPr>
        <w:spacing w:after="240" w:line="240" w:lineRule="auto"/>
        <w:jc w:val="both"/>
        <w:rPr>
          <w:rFonts w:eastAsia="MS Mincho" w:cs="Times New Roman"/>
          <w:sz w:val="28"/>
          <w:szCs w:val="28"/>
        </w:rPr>
      </w:pPr>
    </w:p>
    <w:p w14:paraId="1E1D70F1" w14:textId="77777777" w:rsidR="00C06696" w:rsidRPr="00C71115" w:rsidRDefault="00C06696" w:rsidP="00C71115">
      <w:pPr>
        <w:spacing w:after="240" w:line="240" w:lineRule="auto"/>
        <w:jc w:val="both"/>
        <w:rPr>
          <w:rFonts w:eastAsia="MS Mincho" w:cs="Times New Roman"/>
          <w:sz w:val="28"/>
          <w:szCs w:val="28"/>
        </w:rPr>
        <w:sectPr w:rsidR="00C06696" w:rsidRPr="00C71115" w:rsidSect="00C06696">
          <w:headerReference w:type="even" r:id="rId30"/>
          <w:headerReference w:type="default" r:id="rId31"/>
          <w:footerReference w:type="even" r:id="rId32"/>
          <w:footerReference w:type="default" r:id="rId33"/>
          <w:headerReference w:type="first" r:id="rId34"/>
          <w:footerReference w:type="first" r:id="rId35"/>
          <w:pgSz w:w="11906" w:h="16838" w:code="9"/>
          <w:pgMar w:top="1134" w:right="992" w:bottom="1134" w:left="1418" w:header="567" w:footer="567" w:gutter="0"/>
          <w:cols w:space="708"/>
          <w:docGrid w:linePitch="360"/>
        </w:sectPr>
      </w:pPr>
    </w:p>
    <w:p w14:paraId="6A82910F" w14:textId="00FE59F3" w:rsidR="00C06696" w:rsidRPr="00C71115" w:rsidRDefault="00C06696" w:rsidP="00286C84">
      <w:pPr>
        <w:spacing w:after="240" w:line="240" w:lineRule="auto"/>
        <w:jc w:val="center"/>
        <w:rPr>
          <w:rFonts w:eastAsia="MS Mincho" w:cs="Times New Roman"/>
          <w:sz w:val="28"/>
          <w:szCs w:val="28"/>
        </w:rPr>
        <w:sectPr w:rsidR="00C06696" w:rsidRPr="00C71115" w:rsidSect="00C06696">
          <w:pgSz w:w="16838" w:h="11906" w:orient="landscape" w:code="9"/>
          <w:pgMar w:top="992" w:right="1134" w:bottom="1418" w:left="1134" w:header="567" w:footer="567" w:gutter="0"/>
          <w:cols w:space="708"/>
          <w:docGrid w:linePitch="360"/>
        </w:sectPr>
      </w:pPr>
      <w:r w:rsidRPr="00C71115">
        <w:rPr>
          <w:rFonts w:eastAsia="MS Mincho" w:cs="Times New Roman"/>
          <w:noProof/>
          <w:sz w:val="28"/>
          <w:szCs w:val="28"/>
        </w:rPr>
        <w:lastRenderedPageBreak/>
        <w:drawing>
          <wp:inline distT="0" distB="0" distL="0" distR="0" wp14:anchorId="1FA7434B" wp14:editId="57E18028">
            <wp:extent cx="7772400" cy="54959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5495925"/>
                    </a:xfrm>
                    <a:prstGeom prst="rect">
                      <a:avLst/>
                    </a:prstGeom>
                    <a:noFill/>
                    <a:ln>
                      <a:noFill/>
                    </a:ln>
                  </pic:spPr>
                </pic:pic>
              </a:graphicData>
            </a:graphic>
          </wp:inline>
        </w:drawing>
      </w:r>
    </w:p>
    <w:p w14:paraId="2E03DF8A" w14:textId="77777777" w:rsidR="00C06696" w:rsidRPr="00C71115" w:rsidRDefault="00C06696" w:rsidP="00C71115">
      <w:pPr>
        <w:keepNext/>
        <w:numPr>
          <w:ilvl w:val="0"/>
          <w:numId w:val="41"/>
        </w:numPr>
        <w:spacing w:before="80" w:after="240" w:line="240" w:lineRule="auto"/>
        <w:ind w:left="0" w:firstLine="0"/>
        <w:jc w:val="both"/>
        <w:outlineLvl w:val="1"/>
        <w:rPr>
          <w:rFonts w:eastAsia="Times New Roman" w:cs="Times New Roman"/>
          <w:b/>
          <w:bCs/>
          <w:iCs/>
          <w:sz w:val="28"/>
          <w:szCs w:val="28"/>
        </w:rPr>
      </w:pPr>
      <w:bookmarkStart w:id="14" w:name="_Toc519069556"/>
      <w:r w:rsidRPr="00C71115">
        <w:rPr>
          <w:rFonts w:eastAsia="Times New Roman" w:cs="Times New Roman"/>
          <w:b/>
          <w:bCs/>
          <w:iCs/>
          <w:sz w:val="28"/>
          <w:szCs w:val="28"/>
        </w:rPr>
        <w:lastRenderedPageBreak/>
        <w:t>3.4. Estimativa de custos</w:t>
      </w:r>
      <w:bookmarkEnd w:id="14"/>
      <w:r w:rsidRPr="00C71115">
        <w:rPr>
          <w:rFonts w:eastAsia="Times New Roman" w:cs="Times New Roman"/>
          <w:b/>
          <w:bCs/>
          <w:iCs/>
          <w:sz w:val="28"/>
          <w:szCs w:val="28"/>
        </w:rPr>
        <w:t xml:space="preserve"> </w:t>
      </w:r>
    </w:p>
    <w:p w14:paraId="65A38AF8"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Os custos estimados na mobilização e utilização das reservas técnicas são substanciais. É necessário investimento em equipamentos e contratação de diversos serviços conforme quadro constante no relatório apresentado à ANA/DAEE, a seguir copiado:</w:t>
      </w:r>
    </w:p>
    <w:tbl>
      <w:tblPr>
        <w:tblW w:w="0" w:type="auto"/>
        <w:tblLook w:val="04A0" w:firstRow="1" w:lastRow="0" w:firstColumn="1" w:lastColumn="0" w:noHBand="0" w:noVBand="1"/>
      </w:tblPr>
      <w:tblGrid>
        <w:gridCol w:w="907"/>
        <w:gridCol w:w="7210"/>
        <w:gridCol w:w="955"/>
      </w:tblGrid>
      <w:tr w:rsidR="00C06696" w:rsidRPr="00C71115" w14:paraId="6D9D7F60" w14:textId="77777777" w:rsidTr="00286C84">
        <w:tc>
          <w:tcPr>
            <w:tcW w:w="9072" w:type="dxa"/>
            <w:gridSpan w:val="3"/>
            <w:shd w:val="clear" w:color="auto" w:fill="auto"/>
          </w:tcPr>
          <w:p w14:paraId="4E174421" w14:textId="77777777" w:rsidR="00C06696" w:rsidRPr="00C71115" w:rsidRDefault="00C06696" w:rsidP="00C71115">
            <w:pPr>
              <w:spacing w:after="120" w:line="240" w:lineRule="auto"/>
              <w:jc w:val="both"/>
              <w:rPr>
                <w:rFonts w:eastAsia="Calibri" w:cs="Times New Roman"/>
                <w:noProof/>
                <w:color w:val="000000"/>
                <w:sz w:val="28"/>
                <w:szCs w:val="28"/>
                <w:lang w:eastAsia="en-US"/>
              </w:rPr>
            </w:pPr>
            <w:r w:rsidRPr="00C71115">
              <w:rPr>
                <w:rFonts w:eastAsia="Calibri" w:cs="Times New Roman"/>
                <w:b/>
                <w:noProof/>
                <w:color w:val="000000"/>
                <w:sz w:val="28"/>
                <w:szCs w:val="28"/>
                <w:lang w:val="x-none" w:eastAsia="en-US"/>
              </w:rPr>
              <w:t>Investimento necessário para as infraestruturas de captação das reservas técnicas</w:t>
            </w:r>
            <w:r w:rsidRPr="00C71115">
              <w:rPr>
                <w:rFonts w:eastAsia="Calibri" w:cs="Times New Roman"/>
                <w:noProof/>
                <w:color w:val="000000"/>
                <w:sz w:val="28"/>
                <w:szCs w:val="28"/>
                <w:lang w:val="x-none" w:eastAsia="en-US"/>
              </w:rPr>
              <w:t xml:space="preserve"> (base 2017)</w:t>
            </w:r>
          </w:p>
        </w:tc>
      </w:tr>
      <w:tr w:rsidR="00C06696" w:rsidRPr="00C71115" w14:paraId="1B62F2FC" w14:textId="77777777" w:rsidTr="00286C84">
        <w:tc>
          <w:tcPr>
            <w:tcW w:w="9072" w:type="dxa"/>
            <w:gridSpan w:val="3"/>
            <w:shd w:val="clear" w:color="auto" w:fill="auto"/>
          </w:tcPr>
          <w:p w14:paraId="4E2C7A76" w14:textId="2773D210" w:rsidR="00C06696" w:rsidRPr="00C71115" w:rsidRDefault="00C06696" w:rsidP="00286C84">
            <w:pPr>
              <w:spacing w:after="0" w:line="240" w:lineRule="auto"/>
              <w:jc w:val="center"/>
              <w:rPr>
                <w:rFonts w:eastAsia="MS Mincho" w:cs="Times New Roman"/>
                <w:sz w:val="28"/>
                <w:szCs w:val="28"/>
              </w:rPr>
            </w:pPr>
            <w:r w:rsidRPr="00C71115">
              <w:rPr>
                <w:rFonts w:eastAsia="Calibri" w:cs="Times New Roman"/>
                <w:noProof/>
                <w:color w:val="000000"/>
                <w:sz w:val="28"/>
                <w:szCs w:val="28"/>
              </w:rPr>
              <w:drawing>
                <wp:inline distT="0" distB="0" distL="0" distR="0" wp14:anchorId="6ECD51C2" wp14:editId="5A025B42">
                  <wp:extent cx="4010025" cy="26670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0025" cy="2667000"/>
                          </a:xfrm>
                          <a:prstGeom prst="rect">
                            <a:avLst/>
                          </a:prstGeom>
                          <a:noFill/>
                          <a:ln>
                            <a:noFill/>
                          </a:ln>
                        </pic:spPr>
                      </pic:pic>
                    </a:graphicData>
                  </a:graphic>
                </wp:inline>
              </w:drawing>
            </w:r>
          </w:p>
        </w:tc>
      </w:tr>
      <w:tr w:rsidR="00C06696" w:rsidRPr="00C71115" w14:paraId="1912EA91" w14:textId="77777777" w:rsidTr="00286C84">
        <w:trPr>
          <w:gridBefore w:val="1"/>
          <w:gridAfter w:val="1"/>
          <w:wBefore w:w="907" w:type="dxa"/>
          <w:wAfter w:w="955" w:type="dxa"/>
        </w:trPr>
        <w:tc>
          <w:tcPr>
            <w:tcW w:w="7210" w:type="dxa"/>
            <w:shd w:val="clear" w:color="auto" w:fill="auto"/>
          </w:tcPr>
          <w:p w14:paraId="3E107986" w14:textId="77777777" w:rsidR="00C06696" w:rsidRPr="00C71115" w:rsidRDefault="00C06696" w:rsidP="00C71115">
            <w:pPr>
              <w:spacing w:before="120" w:after="240" w:line="240" w:lineRule="auto"/>
              <w:jc w:val="both"/>
              <w:rPr>
                <w:rFonts w:eastAsia="MS Mincho" w:cs="Times New Roman"/>
                <w:sz w:val="28"/>
                <w:szCs w:val="28"/>
              </w:rPr>
            </w:pPr>
            <w:r w:rsidRPr="00C71115">
              <w:rPr>
                <w:rFonts w:eastAsia="MS Mincho" w:cs="Times New Roman"/>
                <w:sz w:val="28"/>
                <w:szCs w:val="28"/>
              </w:rPr>
              <w:t xml:space="preserve">Fonte: Relatório anexo ao oficio ANA/DAEE 4/2017/AA, de 06-dez-2017, arquivo de título </w:t>
            </w:r>
            <w:proofErr w:type="spellStart"/>
            <w:r w:rsidRPr="00C71115">
              <w:rPr>
                <w:rFonts w:eastAsia="MS Mincho" w:cs="Times New Roman"/>
                <w:i/>
                <w:sz w:val="28"/>
                <w:szCs w:val="28"/>
              </w:rPr>
              <w:t>Of</w:t>
            </w:r>
            <w:proofErr w:type="spellEnd"/>
            <w:r w:rsidRPr="00C71115">
              <w:rPr>
                <w:rFonts w:eastAsia="MS Mincho" w:cs="Times New Roman"/>
                <w:i/>
                <w:sz w:val="28"/>
                <w:szCs w:val="28"/>
              </w:rPr>
              <w:t xml:space="preserve"> Conj. ANA DAEE 04.2017 - Encaminha Plano de Adaptação das infraestruturas feito pela SABESP.PDF</w:t>
            </w:r>
            <w:r w:rsidRPr="00C71115">
              <w:rPr>
                <w:rFonts w:eastAsia="MS Mincho" w:cs="Times New Roman"/>
                <w:sz w:val="28"/>
                <w:szCs w:val="28"/>
              </w:rPr>
              <w:t>, Quadro 4, pág. 25 ou folha 213 do arquivo em PDF.</w:t>
            </w:r>
          </w:p>
        </w:tc>
      </w:tr>
    </w:tbl>
    <w:p w14:paraId="05BD6AD6" w14:textId="77777777" w:rsidR="00C06696" w:rsidRPr="00C71115" w:rsidRDefault="00C06696" w:rsidP="00C71115">
      <w:pPr>
        <w:spacing w:after="120" w:line="240" w:lineRule="auto"/>
        <w:jc w:val="both"/>
        <w:rPr>
          <w:rFonts w:eastAsia="MS Mincho" w:cs="Times New Roman"/>
          <w:sz w:val="28"/>
          <w:szCs w:val="28"/>
        </w:rPr>
      </w:pPr>
    </w:p>
    <w:p w14:paraId="4EB84305"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custo mensal de operação e manutenção é também expressivo, como segue. Observe-se também que nesses quadros não estão incluídos os custos de transporte de equipamentos e de mão-de-obra do pessoal próprio da SABESP, para a instalação dos equipamentos.</w:t>
      </w:r>
    </w:p>
    <w:tbl>
      <w:tblPr>
        <w:tblW w:w="0" w:type="auto"/>
        <w:tblInd w:w="959" w:type="dxa"/>
        <w:tblLook w:val="04A0" w:firstRow="1" w:lastRow="0" w:firstColumn="1" w:lastColumn="0" w:noHBand="0" w:noVBand="1"/>
      </w:tblPr>
      <w:tblGrid>
        <w:gridCol w:w="7796"/>
      </w:tblGrid>
      <w:tr w:rsidR="00C06696" w:rsidRPr="00C71115" w14:paraId="4C79A5F7" w14:textId="77777777" w:rsidTr="00C06696">
        <w:tc>
          <w:tcPr>
            <w:tcW w:w="7796" w:type="dxa"/>
            <w:shd w:val="clear" w:color="auto" w:fill="auto"/>
          </w:tcPr>
          <w:p w14:paraId="0DF00843" w14:textId="77777777" w:rsidR="00C06696" w:rsidRPr="00C71115" w:rsidRDefault="00C06696" w:rsidP="00C71115">
            <w:pPr>
              <w:spacing w:after="120" w:line="240" w:lineRule="auto"/>
              <w:jc w:val="both"/>
              <w:rPr>
                <w:rFonts w:eastAsia="MS Mincho" w:cs="Times New Roman"/>
                <w:sz w:val="28"/>
                <w:szCs w:val="28"/>
              </w:rPr>
            </w:pPr>
            <w:r w:rsidRPr="00C71115">
              <w:rPr>
                <w:rFonts w:eastAsia="Calibri" w:cs="Times New Roman"/>
                <w:b/>
                <w:color w:val="000000"/>
                <w:sz w:val="28"/>
                <w:szCs w:val="28"/>
                <w:lang w:val="x-none" w:eastAsia="en-US"/>
              </w:rPr>
              <w:t>Custos mensais estimados (base 2017) para a contratação dos serviços</w:t>
            </w:r>
          </w:p>
        </w:tc>
      </w:tr>
      <w:tr w:rsidR="00C06696" w:rsidRPr="00C71115" w14:paraId="593EDEC0" w14:textId="77777777" w:rsidTr="00C06696">
        <w:tc>
          <w:tcPr>
            <w:tcW w:w="7796" w:type="dxa"/>
            <w:shd w:val="clear" w:color="auto" w:fill="auto"/>
          </w:tcPr>
          <w:p w14:paraId="71E0D456" w14:textId="64F7CD4E" w:rsidR="00C06696" w:rsidRPr="00C71115" w:rsidRDefault="00C06696" w:rsidP="00286C84">
            <w:pPr>
              <w:spacing w:after="0" w:line="240" w:lineRule="auto"/>
              <w:jc w:val="center"/>
              <w:rPr>
                <w:rFonts w:eastAsia="MS Mincho" w:cs="Times New Roman"/>
                <w:sz w:val="28"/>
                <w:szCs w:val="28"/>
              </w:rPr>
            </w:pPr>
            <w:r w:rsidRPr="00C71115">
              <w:rPr>
                <w:rFonts w:eastAsia="Calibri" w:cs="Times New Roman"/>
                <w:noProof/>
                <w:color w:val="000000"/>
                <w:sz w:val="28"/>
                <w:szCs w:val="28"/>
              </w:rPr>
              <w:lastRenderedPageBreak/>
              <w:drawing>
                <wp:inline distT="0" distB="0" distL="0" distR="0" wp14:anchorId="55C6848C" wp14:editId="3B7A7C1A">
                  <wp:extent cx="3990975" cy="22860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0975" cy="2286000"/>
                          </a:xfrm>
                          <a:prstGeom prst="rect">
                            <a:avLst/>
                          </a:prstGeom>
                          <a:noFill/>
                          <a:ln>
                            <a:noFill/>
                          </a:ln>
                        </pic:spPr>
                      </pic:pic>
                    </a:graphicData>
                  </a:graphic>
                </wp:inline>
              </w:drawing>
            </w:r>
          </w:p>
        </w:tc>
      </w:tr>
      <w:tr w:rsidR="00C06696" w:rsidRPr="00C71115" w14:paraId="494053EF" w14:textId="77777777" w:rsidTr="00C06696">
        <w:tc>
          <w:tcPr>
            <w:tcW w:w="7796" w:type="dxa"/>
            <w:shd w:val="clear" w:color="auto" w:fill="auto"/>
          </w:tcPr>
          <w:p w14:paraId="5BF46129" w14:textId="77777777" w:rsidR="00C06696" w:rsidRPr="00C71115" w:rsidRDefault="00C06696" w:rsidP="00C71115">
            <w:pPr>
              <w:spacing w:before="120" w:after="0" w:line="240" w:lineRule="auto"/>
              <w:jc w:val="both"/>
              <w:rPr>
                <w:rFonts w:eastAsia="MS Mincho" w:cs="Times New Roman"/>
                <w:sz w:val="28"/>
                <w:szCs w:val="28"/>
              </w:rPr>
            </w:pPr>
            <w:r w:rsidRPr="00C71115">
              <w:rPr>
                <w:rFonts w:eastAsia="MS Mincho" w:cs="Times New Roman"/>
                <w:sz w:val="28"/>
                <w:szCs w:val="28"/>
              </w:rPr>
              <w:t xml:space="preserve">Fonte: Relatório anexo ao oficio ANA/DAEE 4/2017/AA, de 06-dez-2017, arquivo de título </w:t>
            </w:r>
            <w:proofErr w:type="spellStart"/>
            <w:r w:rsidRPr="00C71115">
              <w:rPr>
                <w:rFonts w:eastAsia="MS Mincho" w:cs="Times New Roman"/>
                <w:i/>
                <w:sz w:val="28"/>
                <w:szCs w:val="28"/>
              </w:rPr>
              <w:t>Of</w:t>
            </w:r>
            <w:proofErr w:type="spellEnd"/>
            <w:r w:rsidRPr="00C71115">
              <w:rPr>
                <w:rFonts w:eastAsia="MS Mincho" w:cs="Times New Roman"/>
                <w:i/>
                <w:sz w:val="28"/>
                <w:szCs w:val="28"/>
              </w:rPr>
              <w:t xml:space="preserve"> Conj. ANA DAEE 04.2017 - Encaminha Plano de Adaptação das infraestruturas feito pela SABESP.PDF</w:t>
            </w:r>
            <w:r w:rsidRPr="00C71115">
              <w:rPr>
                <w:rFonts w:eastAsia="MS Mincho" w:cs="Times New Roman"/>
                <w:sz w:val="28"/>
                <w:szCs w:val="28"/>
              </w:rPr>
              <w:t>, Quadro 5, pág. 26 ou folha 214 do arquivo em PDF.</w:t>
            </w:r>
          </w:p>
        </w:tc>
      </w:tr>
    </w:tbl>
    <w:p w14:paraId="43E0E332" w14:textId="77777777" w:rsidR="00C06696" w:rsidRPr="00C71115" w:rsidRDefault="00C06696" w:rsidP="00C71115">
      <w:pPr>
        <w:spacing w:after="240" w:line="240" w:lineRule="auto"/>
        <w:jc w:val="both"/>
        <w:rPr>
          <w:rFonts w:eastAsia="MS Mincho" w:cs="Times New Roman"/>
          <w:sz w:val="28"/>
          <w:szCs w:val="28"/>
        </w:rPr>
      </w:pPr>
    </w:p>
    <w:p w14:paraId="2578DA2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Conforme o relatório da SABESP apresentado à ANA/DAEE, todas as operações relacionadas à captação da reserva técnica não afetam as descargas à jusante dos reservatórios do Cantareira para a bacia do PCJ, haja vista que as estruturas de descargas para jusante estão em cotas inferiores aos pontos de captação.</w:t>
      </w:r>
    </w:p>
    <w:p w14:paraId="285677C4" w14:textId="77777777" w:rsidR="00C06696" w:rsidRPr="00C71115" w:rsidRDefault="00C06696" w:rsidP="00C71115">
      <w:pPr>
        <w:spacing w:after="240" w:line="240" w:lineRule="auto"/>
        <w:jc w:val="both"/>
        <w:rPr>
          <w:rFonts w:eastAsia="MS Mincho" w:cs="Times New Roman"/>
          <w:sz w:val="28"/>
          <w:szCs w:val="28"/>
        </w:rPr>
      </w:pPr>
    </w:p>
    <w:p w14:paraId="183D735F" w14:textId="77777777" w:rsidR="00C06696" w:rsidRPr="00C71115" w:rsidRDefault="00C06696" w:rsidP="00C71115">
      <w:pPr>
        <w:keepNext/>
        <w:numPr>
          <w:ilvl w:val="0"/>
          <w:numId w:val="41"/>
        </w:numPr>
        <w:spacing w:before="80" w:after="240" w:line="240" w:lineRule="auto"/>
        <w:ind w:left="0" w:firstLine="0"/>
        <w:jc w:val="both"/>
        <w:outlineLvl w:val="1"/>
        <w:rPr>
          <w:rFonts w:eastAsia="Calibri" w:cs="Times New Roman"/>
          <w:b/>
          <w:bCs/>
          <w:iCs/>
          <w:sz w:val="28"/>
          <w:szCs w:val="28"/>
          <w:lang w:eastAsia="en-US"/>
        </w:rPr>
      </w:pPr>
      <w:bookmarkStart w:id="15" w:name="_Toc519069557"/>
      <w:r w:rsidRPr="00C71115">
        <w:rPr>
          <w:rFonts w:eastAsia="Calibri" w:cs="Times New Roman"/>
          <w:b/>
          <w:bCs/>
          <w:iCs/>
          <w:sz w:val="28"/>
          <w:szCs w:val="28"/>
          <w:lang w:eastAsia="en-US"/>
        </w:rPr>
        <w:t>3.5. Conclusões</w:t>
      </w:r>
      <w:bookmarkEnd w:id="15"/>
    </w:p>
    <w:p w14:paraId="087FBCD6"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GT Outorga do Sistema Cantareira concluiu que o Plano apresentado pela SABESP repete a estratégia utilizada pela companhia durante a crise hídrica no período de 2014/2015, e que se revelou consistente e exequível.</w:t>
      </w:r>
    </w:p>
    <w:p w14:paraId="277C0F7F"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Concluiu que do ponto de vista de “plano de adaptação das infraestruturas dos reservatórios” – como destacado no artigo 12</w:t>
      </w:r>
      <w:r w:rsidRPr="00C71115">
        <w:rPr>
          <w:rFonts w:eastAsia="MS Mincho" w:cs="Times New Roman"/>
          <w:sz w:val="28"/>
          <w:szCs w:val="28"/>
          <w:vertAlign w:val="superscript"/>
        </w:rPr>
        <w:t>o</w:t>
      </w:r>
      <w:r w:rsidRPr="00C71115">
        <w:rPr>
          <w:rFonts w:eastAsia="MS Mincho" w:cs="Times New Roman"/>
          <w:sz w:val="28"/>
          <w:szCs w:val="28"/>
        </w:rPr>
        <w:t xml:space="preserve"> da Resolução Conjunta ANA/DAEE n</w:t>
      </w:r>
      <w:r w:rsidRPr="00C71115">
        <w:rPr>
          <w:rFonts w:eastAsia="MS Mincho" w:cs="Times New Roman"/>
          <w:sz w:val="28"/>
          <w:szCs w:val="28"/>
          <w:vertAlign w:val="superscript"/>
        </w:rPr>
        <w:t>o</w:t>
      </w:r>
      <w:r w:rsidRPr="00C71115">
        <w:rPr>
          <w:rFonts w:eastAsia="MS Mincho" w:cs="Times New Roman"/>
          <w:sz w:val="28"/>
          <w:szCs w:val="28"/>
        </w:rPr>
        <w:t xml:space="preserve"> 926 (de outorga) – o relatório pode ser considerado satisfatório. </w:t>
      </w:r>
    </w:p>
    <w:p w14:paraId="5D6B45FD"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O relatório foi apresentado com o foco no “</w:t>
      </w:r>
      <w:r w:rsidRPr="00C71115">
        <w:rPr>
          <w:rFonts w:eastAsia="MS Mincho" w:cs="Times New Roman"/>
          <w:bCs/>
          <w:sz w:val="28"/>
          <w:szCs w:val="28"/>
          <w:lang w:val="x-none"/>
        </w:rPr>
        <w:t>plano de adaptação das infraestruturas dos reservatórios</w:t>
      </w:r>
      <w:r w:rsidRPr="00C71115">
        <w:rPr>
          <w:rFonts w:eastAsia="MS Mincho" w:cs="Times New Roman"/>
          <w:bCs/>
          <w:sz w:val="28"/>
          <w:szCs w:val="28"/>
        </w:rPr>
        <w:t>...” conforme estabelecido no artigo 12</w:t>
      </w:r>
      <w:r w:rsidRPr="00C71115">
        <w:rPr>
          <w:rFonts w:eastAsia="MS Mincho" w:cs="Times New Roman"/>
          <w:bCs/>
          <w:sz w:val="28"/>
          <w:szCs w:val="28"/>
          <w:vertAlign w:val="superscript"/>
        </w:rPr>
        <w:t>o</w:t>
      </w:r>
      <w:r w:rsidRPr="00C71115">
        <w:rPr>
          <w:rFonts w:eastAsia="MS Mincho" w:cs="Times New Roman"/>
          <w:sz w:val="28"/>
          <w:szCs w:val="28"/>
        </w:rPr>
        <w:t xml:space="preserve">, mas, à semelhança da crise hídrica de 2014-15 – ao começar a utilização da reserva técnica – outras medidas complementares também serão necessárias para que a RMSP possa conviver com reduções de produção de água de abastecimento público, em que pesem as diferenças de situações: antes de 2014 e após a conclusão das obras de ampliação da segurança hídrica. </w:t>
      </w:r>
    </w:p>
    <w:p w14:paraId="7768E65B"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lastRenderedPageBreak/>
        <w:t>Dentre essas medidas destacam-se: as campanhas na mídia; a redução de pressão na rede; a interligação de sistemas; as medidas emergenciais de redução das outorgas de outros usos de água.</w:t>
      </w:r>
    </w:p>
    <w:p w14:paraId="0E5A1D09"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Por fim, o GT Outorga do Sistema Cantareira lembra que há outros condicionantes na Resolução Conjunta ANA/DAEE nº 926, e que o CBH-AT tem interesse no seu acompanhamento.</w:t>
      </w:r>
    </w:p>
    <w:p w14:paraId="32188C01"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Diante do exposto o artigo 12º da Resolução Conjunta ANA/DAEE nº 926 de 29/05/17 pode ser considerado que está atendido com o relatório apresentado pela SABESP.</w:t>
      </w:r>
    </w:p>
    <w:p w14:paraId="72BFE2DE" w14:textId="77777777" w:rsidR="00C06696" w:rsidRPr="00C71115" w:rsidRDefault="00C06696" w:rsidP="00C71115">
      <w:pPr>
        <w:spacing w:after="240" w:line="240" w:lineRule="auto"/>
        <w:jc w:val="both"/>
        <w:rPr>
          <w:rFonts w:eastAsia="MS Mincho" w:cs="Times New Roman"/>
          <w:sz w:val="28"/>
          <w:szCs w:val="28"/>
        </w:rPr>
      </w:pPr>
    </w:p>
    <w:p w14:paraId="0C5BEA89" w14:textId="19D5BF36" w:rsidR="00C06696" w:rsidRPr="00C71115" w:rsidRDefault="00286C84" w:rsidP="00C71115">
      <w:pPr>
        <w:spacing w:after="0" w:line="240" w:lineRule="auto"/>
        <w:jc w:val="both"/>
        <w:rPr>
          <w:rFonts w:eastAsia="MS Mincho" w:cs="Times New Roman"/>
          <w:sz w:val="28"/>
          <w:szCs w:val="28"/>
        </w:rPr>
      </w:pPr>
      <w:r>
        <w:rPr>
          <w:rFonts w:eastAsia="MS Mincho" w:cs="Times New Roman"/>
          <w:sz w:val="28"/>
          <w:szCs w:val="28"/>
        </w:rPr>
        <w:t>C</w:t>
      </w:r>
      <w:r w:rsidR="00C06696" w:rsidRPr="00C71115">
        <w:rPr>
          <w:rFonts w:eastAsia="MS Mincho" w:cs="Times New Roman"/>
          <w:sz w:val="28"/>
          <w:szCs w:val="28"/>
        </w:rPr>
        <w:t>BH-AT</w:t>
      </w:r>
    </w:p>
    <w:p w14:paraId="3D414AE2" w14:textId="77777777" w:rsidR="00C06696" w:rsidRPr="00C71115" w:rsidRDefault="00C06696" w:rsidP="00C71115">
      <w:pPr>
        <w:spacing w:after="0" w:line="240" w:lineRule="auto"/>
        <w:jc w:val="both"/>
        <w:rPr>
          <w:rFonts w:eastAsia="MS Mincho" w:cs="Times New Roman"/>
          <w:sz w:val="28"/>
          <w:szCs w:val="28"/>
        </w:rPr>
      </w:pPr>
      <w:r w:rsidRPr="00C71115">
        <w:rPr>
          <w:rFonts w:eastAsia="MS Mincho" w:cs="Times New Roman"/>
          <w:sz w:val="28"/>
          <w:szCs w:val="28"/>
        </w:rPr>
        <w:t xml:space="preserve">GT Outorga do Sistema Cantareira e </w:t>
      </w:r>
    </w:p>
    <w:p w14:paraId="0CE29406" w14:textId="77777777" w:rsidR="00C06696" w:rsidRPr="00C71115" w:rsidRDefault="00C06696" w:rsidP="00C71115">
      <w:pPr>
        <w:spacing w:after="240" w:line="240" w:lineRule="auto"/>
        <w:jc w:val="both"/>
        <w:rPr>
          <w:rFonts w:eastAsia="MS Mincho" w:cs="Times New Roman"/>
          <w:sz w:val="28"/>
          <w:szCs w:val="28"/>
        </w:rPr>
      </w:pPr>
      <w:r w:rsidRPr="00C71115">
        <w:rPr>
          <w:rFonts w:eastAsia="MS Mincho" w:cs="Times New Roman"/>
          <w:sz w:val="28"/>
          <w:szCs w:val="28"/>
        </w:rPr>
        <w:t>CTPA-</w:t>
      </w:r>
      <w:r w:rsidRPr="00C71115">
        <w:rPr>
          <w:rFonts w:eastAsia="MS Mincho" w:cs="Times New Roman"/>
          <w:sz w:val="28"/>
          <w:szCs w:val="28"/>
          <w:lang w:val="x-none" w:eastAsia="en-US"/>
        </w:rPr>
        <w:t xml:space="preserve"> </w:t>
      </w:r>
      <w:r w:rsidRPr="00C71115">
        <w:rPr>
          <w:rFonts w:eastAsia="MS Mincho" w:cs="Times New Roman"/>
          <w:sz w:val="28"/>
          <w:szCs w:val="28"/>
        </w:rPr>
        <w:t>Câmara Técnica de Planejamento e Articulação</w:t>
      </w:r>
    </w:p>
    <w:p w14:paraId="6B556E70" w14:textId="77777777" w:rsidR="00C06696" w:rsidRPr="00C71115" w:rsidRDefault="00C06696" w:rsidP="00C71115">
      <w:pPr>
        <w:spacing w:after="240" w:line="240" w:lineRule="auto"/>
        <w:jc w:val="both"/>
        <w:rPr>
          <w:rFonts w:eastAsia="MS Mincho" w:cs="Times New Roman"/>
          <w:sz w:val="28"/>
          <w:szCs w:val="28"/>
        </w:rPr>
      </w:pPr>
    </w:p>
    <w:p w14:paraId="49904535" w14:textId="77777777" w:rsidR="00C06696" w:rsidRDefault="00C06696" w:rsidP="00150B5D">
      <w:pPr>
        <w:jc w:val="center"/>
        <w:rPr>
          <w:b/>
          <w:sz w:val="28"/>
          <w:szCs w:val="28"/>
          <w:lang w:eastAsia="en-US"/>
        </w:rPr>
      </w:pPr>
    </w:p>
    <w:sectPr w:rsidR="00C06696" w:rsidSect="0048178A">
      <w:headerReference w:type="even" r:id="rId39"/>
      <w:headerReference w:type="default" r:id="rId40"/>
      <w:footerReference w:type="default" r:id="rId41"/>
      <w:headerReference w:type="first" r:id="rId42"/>
      <w:footerReference w:type="first" r:id="rId43"/>
      <w:pgSz w:w="11906" w:h="16838"/>
      <w:pgMar w:top="1418" w:right="991" w:bottom="1135" w:left="1701" w:header="142" w:footer="5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C6346" w14:textId="77777777" w:rsidR="00C06696" w:rsidRDefault="00C06696" w:rsidP="00322728">
      <w:pPr>
        <w:spacing w:after="0" w:line="240" w:lineRule="auto"/>
      </w:pPr>
      <w:r>
        <w:separator/>
      </w:r>
    </w:p>
  </w:endnote>
  <w:endnote w:type="continuationSeparator" w:id="0">
    <w:p w14:paraId="6447F3D1" w14:textId="77777777" w:rsidR="00C06696" w:rsidRDefault="00C06696" w:rsidP="00322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BC306" w14:textId="77777777" w:rsidR="00C71115" w:rsidRDefault="00C7111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3141E" w14:textId="77777777" w:rsidR="00C06696" w:rsidRPr="00FC53DA" w:rsidRDefault="00C06696" w:rsidP="00C06696">
    <w:pPr>
      <w:pStyle w:val="Rodap"/>
      <w:jc w:val="right"/>
      <w:rPr>
        <w:rFonts w:ascii="Times New Roman" w:hAnsi="Times New Roman"/>
        <w:szCs w:val="20"/>
      </w:rPr>
    </w:pPr>
    <w:r w:rsidRPr="00FC53DA">
      <w:rPr>
        <w:rFonts w:ascii="Times New Roman" w:hAnsi="Times New Roman"/>
        <w:szCs w:val="20"/>
      </w:rPr>
      <w:fldChar w:fldCharType="begin"/>
    </w:r>
    <w:r w:rsidRPr="00FC53DA">
      <w:rPr>
        <w:rFonts w:ascii="Times New Roman" w:hAnsi="Times New Roman"/>
        <w:szCs w:val="20"/>
      </w:rPr>
      <w:instrText>PAGE   \* MERGEFORMAT</w:instrText>
    </w:r>
    <w:r w:rsidRPr="00FC53DA">
      <w:rPr>
        <w:rFonts w:ascii="Times New Roman" w:hAnsi="Times New Roman"/>
        <w:szCs w:val="20"/>
      </w:rPr>
      <w:fldChar w:fldCharType="separate"/>
    </w:r>
    <w:r w:rsidR="00D95149">
      <w:rPr>
        <w:rFonts w:ascii="Times New Roman" w:hAnsi="Times New Roman"/>
        <w:noProof/>
        <w:szCs w:val="20"/>
      </w:rPr>
      <w:t>5</w:t>
    </w:r>
    <w:r w:rsidRPr="00FC53DA">
      <w:rPr>
        <w:rFonts w:ascii="Times New Roman" w:hAnsi="Times New Roman"/>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F8065" w14:textId="77777777" w:rsidR="00C71115" w:rsidRDefault="00C71115">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72345"/>
      <w:docPartObj>
        <w:docPartGallery w:val="Page Numbers (Bottom of Page)"/>
        <w:docPartUnique/>
      </w:docPartObj>
    </w:sdtPr>
    <w:sdtEndPr/>
    <w:sdtContent>
      <w:p w14:paraId="25F45813" w14:textId="77777777" w:rsidR="00C06696" w:rsidRDefault="00C06696">
        <w:pPr>
          <w:pStyle w:val="Rodap"/>
          <w:jc w:val="right"/>
        </w:pPr>
        <w:r>
          <w:fldChar w:fldCharType="begin"/>
        </w:r>
        <w:r>
          <w:instrText>PAGE   \* MERGEFORMAT</w:instrText>
        </w:r>
        <w:r>
          <w:fldChar w:fldCharType="separate"/>
        </w:r>
        <w:r w:rsidR="00B40B99">
          <w:rPr>
            <w:noProof/>
          </w:rPr>
          <w:t>25</w:t>
        </w:r>
        <w:r>
          <w:fldChar w:fldCharType="end"/>
        </w:r>
      </w:p>
    </w:sdtContent>
  </w:sdt>
  <w:p w14:paraId="29E3A9D8" w14:textId="77777777" w:rsidR="00C06696" w:rsidRDefault="00C06696">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698618"/>
      <w:docPartObj>
        <w:docPartGallery w:val="Page Numbers (Bottom of Page)"/>
        <w:docPartUnique/>
      </w:docPartObj>
    </w:sdtPr>
    <w:sdtEndPr/>
    <w:sdtContent>
      <w:p w14:paraId="55E89E08" w14:textId="692D4DB1" w:rsidR="00C06696" w:rsidRPr="000A65D3" w:rsidRDefault="00C06696" w:rsidP="00F41C7C">
        <w:pPr>
          <w:pStyle w:val="Rodap"/>
          <w:jc w:val="right"/>
          <w:rPr>
            <w:rFonts w:ascii="Arial" w:hAnsi="Arial" w:cs="Arial"/>
            <w:i/>
            <w:sz w:val="18"/>
            <w:szCs w:val="18"/>
          </w:rPr>
        </w:pPr>
      </w:p>
      <w:p w14:paraId="580369FA" w14:textId="77777777" w:rsidR="00C06696" w:rsidRDefault="00D95149" w:rsidP="00F41C7C">
        <w:pPr>
          <w:pStyle w:val="Rodap"/>
          <w:jc w:val="right"/>
        </w:pPr>
      </w:p>
    </w:sdtContent>
  </w:sdt>
  <w:p w14:paraId="336328E0" w14:textId="77777777" w:rsidR="00C06696" w:rsidRDefault="00C0669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476BE" w14:textId="77777777" w:rsidR="00C06696" w:rsidRDefault="00C06696" w:rsidP="00322728">
      <w:pPr>
        <w:spacing w:after="0" w:line="240" w:lineRule="auto"/>
      </w:pPr>
      <w:r>
        <w:separator/>
      </w:r>
    </w:p>
  </w:footnote>
  <w:footnote w:type="continuationSeparator" w:id="0">
    <w:p w14:paraId="7FF00194" w14:textId="77777777" w:rsidR="00C06696" w:rsidRDefault="00C06696" w:rsidP="00322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E9BEC" w14:textId="5919D67C" w:rsidR="00C71115" w:rsidRDefault="00D95149">
    <w:pPr>
      <w:pStyle w:val="Cabealho"/>
    </w:pPr>
    <w:r>
      <w:rPr>
        <w:noProof/>
      </w:rPr>
      <w:pict w14:anchorId="6BF60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3" o:spid="_x0000_s14338" type="#_x0000_t136" style="position:absolute;margin-left:0;margin-top:0;width:468.6pt;height:200.8pt;rotation:315;z-index:-251655168;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3D0C" w14:textId="3A652A44" w:rsidR="00C06696" w:rsidRDefault="00D95149" w:rsidP="00C06696">
    <w:pPr>
      <w:pStyle w:val="Cabealho"/>
      <w:rPr>
        <w:sz w:val="4"/>
      </w:rPr>
    </w:pPr>
    <w:r>
      <w:rPr>
        <w:noProof/>
      </w:rPr>
      <w:pict w14:anchorId="73C07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4" o:spid="_x0000_s14339" type="#_x0000_t136" style="position:absolute;margin-left:0;margin-top:0;width:468.6pt;height:200.8pt;rotation:315;z-index:-251653120;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p w14:paraId="0BFDA34B" w14:textId="77777777" w:rsidR="00C06696" w:rsidRDefault="00C06696" w:rsidP="00C06696">
    <w:pPr>
      <w:pStyle w:val="Cabealho"/>
      <w:jc w:val="right"/>
      <w:rPr>
        <w:sz w:val="4"/>
      </w:rPr>
    </w:pPr>
    <w:r>
      <w:rPr>
        <w:sz w:val="4"/>
      </w:rPr>
      <w:object w:dxaOrig="1395" w:dyaOrig="765" w14:anchorId="47F4C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8.25pt" o:ole="" fillcolor="window">
          <v:imagedata r:id="rId1" o:title=""/>
        </v:shape>
        <o:OLEObject Type="Embed" ProgID="Word.Picture.8" ShapeID="_x0000_i1025" DrawAspect="Content" ObjectID="_1596292841" r:id="rId2"/>
      </w:object>
    </w:r>
  </w:p>
  <w:p w14:paraId="1C6E34FD" w14:textId="77777777" w:rsidR="00C06696" w:rsidRDefault="00C06696" w:rsidP="00C06696">
    <w:pPr>
      <w:pStyle w:val="Cabealho"/>
      <w:jc w:val="right"/>
      <w:rPr>
        <w:rFonts w:ascii="Arial" w:hAnsi="Arial"/>
        <w:b/>
        <w:sz w:val="14"/>
      </w:rPr>
    </w:pPr>
    <w:r>
      <w:rPr>
        <w:sz w:val="16"/>
      </w:rPr>
      <w:t>_______________________________________________________________________________________________________________________</w:t>
    </w:r>
    <w:r>
      <w:rPr>
        <w:rFonts w:ascii="Arial" w:hAnsi="Arial"/>
        <w:b/>
        <w:sz w:val="14"/>
      </w:rPr>
      <w:t>COMITÊ DA BACIA HIDROGRÁFICA DO ALTO TIETÊ</w:t>
    </w:r>
  </w:p>
  <w:p w14:paraId="4AF37EFD" w14:textId="77777777" w:rsidR="00C06696" w:rsidRDefault="00C06696" w:rsidP="00C06696">
    <w:pPr>
      <w:pStyle w:val="Cabealho"/>
    </w:pPr>
  </w:p>
  <w:p w14:paraId="7A5B88C6" w14:textId="77777777" w:rsidR="00C06696" w:rsidRDefault="00C06696" w:rsidP="00C06696">
    <w:pPr>
      <w:pStyle w:val="Cabealho"/>
      <w:jc w:val="center"/>
      <w:rPr>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8F475" w14:textId="5464DE9E" w:rsidR="00C71115" w:rsidRDefault="00D95149">
    <w:pPr>
      <w:pStyle w:val="Cabealho"/>
    </w:pPr>
    <w:r>
      <w:rPr>
        <w:noProof/>
      </w:rPr>
      <w:pict w14:anchorId="6C500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2" o:spid="_x0000_s14337" type="#_x0000_t136" style="position:absolute;margin-left:0;margin-top:0;width:468.6pt;height:200.8pt;rotation:315;z-index:-251657216;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D817" w14:textId="6FF6A5F6" w:rsidR="00C71115" w:rsidRDefault="00D95149">
    <w:pPr>
      <w:pStyle w:val="Cabealho"/>
    </w:pPr>
    <w:r>
      <w:rPr>
        <w:noProof/>
      </w:rPr>
      <w:pict w14:anchorId="17DF6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6" o:spid="_x0000_s14341" type="#_x0000_t136" style="position:absolute;margin-left:0;margin-top:0;width:468.6pt;height:200.8pt;rotation:315;z-index:-251649024;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7BF0C" w14:textId="7C18EB80" w:rsidR="00C06696" w:rsidRDefault="00D95149" w:rsidP="00090AAA">
    <w:pPr>
      <w:pStyle w:val="Cabealho"/>
      <w:jc w:val="right"/>
      <w:rPr>
        <w:noProof/>
      </w:rPr>
    </w:pPr>
    <w:r>
      <w:rPr>
        <w:noProof/>
      </w:rPr>
      <w:pict w14:anchorId="37CE3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7" o:spid="_x0000_s14342" type="#_x0000_t136" style="position:absolute;left:0;text-align:left;margin-left:0;margin-top:0;width:468.6pt;height:200.8pt;rotation:315;z-index:-251646976;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p w14:paraId="60269E3F" w14:textId="77777777" w:rsidR="00C06696" w:rsidRDefault="00C06696" w:rsidP="00090AAA">
    <w:pPr>
      <w:pStyle w:val="Cabealho"/>
      <w:jc w:val="right"/>
    </w:pPr>
    <w:r>
      <w:rPr>
        <w:noProof/>
      </w:rPr>
      <w:drawing>
        <wp:inline distT="0" distB="0" distL="0" distR="0" wp14:anchorId="27B958C4" wp14:editId="0C8F18B2">
          <wp:extent cx="817245" cy="381663"/>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849" cy="382412"/>
                  </a:xfrm>
                  <a:prstGeom prst="rect">
                    <a:avLst/>
                  </a:prstGeom>
                  <a:noFill/>
                </pic:spPr>
              </pic:pic>
            </a:graphicData>
          </a:graphic>
        </wp:inline>
      </w:drawing>
    </w:r>
    <w:r>
      <w:t>__________________________________________________________________________________</w:t>
    </w:r>
  </w:p>
  <w:p w14:paraId="4491C82E" w14:textId="77777777" w:rsidR="00C06696" w:rsidRPr="00176B69" w:rsidRDefault="00C06696" w:rsidP="00090AAA">
    <w:pPr>
      <w:spacing w:line="140" w:lineRule="exact"/>
      <w:jc w:val="right"/>
      <w:rPr>
        <w:rFonts w:ascii="Arial" w:eastAsia="Arial" w:hAnsi="Arial" w:cs="Arial"/>
        <w:b/>
        <w:position w:val="-1"/>
        <w:sz w:val="16"/>
        <w:szCs w:val="14"/>
      </w:rPr>
    </w:pPr>
    <w:r w:rsidRPr="00A937E1">
      <w:rPr>
        <w:rFonts w:ascii="Arial" w:eastAsia="Arial" w:hAnsi="Arial" w:cs="Arial"/>
        <w:b/>
        <w:position w:val="-1"/>
        <w:sz w:val="18"/>
        <w:szCs w:val="14"/>
      </w:rPr>
      <w:t>CO</w:t>
    </w:r>
    <w:r w:rsidRPr="00A937E1">
      <w:rPr>
        <w:rFonts w:ascii="Arial" w:eastAsia="Arial" w:hAnsi="Arial" w:cs="Arial"/>
        <w:b/>
        <w:spacing w:val="2"/>
        <w:position w:val="-1"/>
        <w:sz w:val="18"/>
        <w:szCs w:val="14"/>
      </w:rPr>
      <w:t>M</w:t>
    </w:r>
    <w:r w:rsidRPr="00A937E1">
      <w:rPr>
        <w:rFonts w:ascii="Arial" w:eastAsia="Arial" w:hAnsi="Arial" w:cs="Arial"/>
        <w:b/>
        <w:position w:val="-1"/>
        <w:sz w:val="18"/>
        <w:szCs w:val="14"/>
      </w:rPr>
      <w:t>I</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Ê</w:t>
    </w:r>
    <w:r w:rsidRPr="00A937E1">
      <w:rPr>
        <w:rFonts w:ascii="Arial" w:eastAsia="Arial" w:hAnsi="Arial" w:cs="Arial"/>
        <w:b/>
        <w:spacing w:val="-5"/>
        <w:position w:val="-1"/>
        <w:sz w:val="18"/>
        <w:szCs w:val="14"/>
      </w:rPr>
      <w:t xml:space="preserve"> </w:t>
    </w:r>
    <w:r w:rsidRPr="00A937E1">
      <w:rPr>
        <w:rFonts w:ascii="Arial" w:eastAsia="Arial" w:hAnsi="Arial" w:cs="Arial"/>
        <w:b/>
        <w:spacing w:val="2"/>
        <w:position w:val="-1"/>
        <w:sz w:val="18"/>
        <w:szCs w:val="14"/>
      </w:rPr>
      <w:t>D</w:t>
    </w:r>
    <w:r w:rsidRPr="00A937E1">
      <w:rPr>
        <w:rFonts w:ascii="Arial" w:eastAsia="Arial" w:hAnsi="Arial" w:cs="Arial"/>
        <w:b/>
        <w:position w:val="-1"/>
        <w:sz w:val="18"/>
        <w:szCs w:val="14"/>
      </w:rPr>
      <w:t>A</w:t>
    </w:r>
    <w:r w:rsidRPr="00A937E1">
      <w:rPr>
        <w:rFonts w:ascii="Arial" w:eastAsia="Arial" w:hAnsi="Arial" w:cs="Arial"/>
        <w:b/>
        <w:spacing w:val="-2"/>
        <w:position w:val="-1"/>
        <w:sz w:val="18"/>
        <w:szCs w:val="14"/>
      </w:rPr>
      <w:t xml:space="preserve"> </w:t>
    </w:r>
    <w:r w:rsidRPr="00A937E1">
      <w:rPr>
        <w:rFonts w:ascii="Arial" w:eastAsia="Arial" w:hAnsi="Arial" w:cs="Arial"/>
        <w:b/>
        <w:spacing w:val="3"/>
        <w:position w:val="-1"/>
        <w:sz w:val="18"/>
        <w:szCs w:val="14"/>
      </w:rPr>
      <w:t>B</w:t>
    </w:r>
    <w:r w:rsidRPr="00A937E1">
      <w:rPr>
        <w:rFonts w:ascii="Arial" w:eastAsia="Arial" w:hAnsi="Arial" w:cs="Arial"/>
        <w:b/>
        <w:spacing w:val="-2"/>
        <w:position w:val="-1"/>
        <w:sz w:val="18"/>
        <w:szCs w:val="14"/>
      </w:rPr>
      <w:t>A</w:t>
    </w:r>
    <w:r w:rsidRPr="00A937E1">
      <w:rPr>
        <w:rFonts w:ascii="Arial" w:eastAsia="Arial" w:hAnsi="Arial" w:cs="Arial"/>
        <w:b/>
        <w:position w:val="-1"/>
        <w:sz w:val="18"/>
        <w:szCs w:val="14"/>
      </w:rPr>
      <w:t>C</w:t>
    </w:r>
    <w:r w:rsidRPr="00A937E1">
      <w:rPr>
        <w:rFonts w:ascii="Arial" w:eastAsia="Arial" w:hAnsi="Arial" w:cs="Arial"/>
        <w:b/>
        <w:spacing w:val="2"/>
        <w:position w:val="-1"/>
        <w:sz w:val="18"/>
        <w:szCs w:val="14"/>
      </w:rPr>
      <w:t>I</w:t>
    </w:r>
    <w:r w:rsidRPr="00A937E1">
      <w:rPr>
        <w:rFonts w:ascii="Arial" w:eastAsia="Arial" w:hAnsi="Arial" w:cs="Arial"/>
        <w:b/>
        <w:position w:val="-1"/>
        <w:sz w:val="18"/>
        <w:szCs w:val="14"/>
      </w:rPr>
      <w:t>A</w:t>
    </w:r>
    <w:r w:rsidRPr="00A937E1">
      <w:rPr>
        <w:rFonts w:ascii="Arial" w:eastAsia="Arial" w:hAnsi="Arial" w:cs="Arial"/>
        <w:b/>
        <w:spacing w:val="-4"/>
        <w:position w:val="-1"/>
        <w:sz w:val="18"/>
        <w:szCs w:val="14"/>
      </w:rPr>
      <w:t xml:space="preserve"> </w:t>
    </w:r>
    <w:r w:rsidRPr="00A937E1">
      <w:rPr>
        <w:rFonts w:ascii="Arial" w:eastAsia="Arial" w:hAnsi="Arial" w:cs="Arial"/>
        <w:b/>
        <w:position w:val="-1"/>
        <w:sz w:val="18"/>
        <w:szCs w:val="14"/>
      </w:rPr>
      <w:t>HIDR</w:t>
    </w:r>
    <w:r w:rsidRPr="00A937E1">
      <w:rPr>
        <w:rFonts w:ascii="Arial" w:eastAsia="Arial" w:hAnsi="Arial" w:cs="Arial"/>
        <w:b/>
        <w:spacing w:val="2"/>
        <w:position w:val="-1"/>
        <w:sz w:val="18"/>
        <w:szCs w:val="14"/>
      </w:rPr>
      <w:t>O</w:t>
    </w:r>
    <w:r w:rsidRPr="00A937E1">
      <w:rPr>
        <w:rFonts w:ascii="Arial" w:eastAsia="Arial" w:hAnsi="Arial" w:cs="Arial"/>
        <w:b/>
        <w:position w:val="-1"/>
        <w:sz w:val="18"/>
        <w:szCs w:val="14"/>
      </w:rPr>
      <w:t>G</w:t>
    </w:r>
    <w:r w:rsidRPr="00A937E1">
      <w:rPr>
        <w:rFonts w:ascii="Arial" w:eastAsia="Arial" w:hAnsi="Arial" w:cs="Arial"/>
        <w:b/>
        <w:spacing w:val="2"/>
        <w:position w:val="-1"/>
        <w:sz w:val="18"/>
        <w:szCs w:val="14"/>
      </w:rPr>
      <w:t>R</w:t>
    </w:r>
    <w:r w:rsidRPr="00A937E1">
      <w:rPr>
        <w:rFonts w:ascii="Arial" w:eastAsia="Arial" w:hAnsi="Arial" w:cs="Arial"/>
        <w:b/>
        <w:position w:val="-1"/>
        <w:sz w:val="18"/>
        <w:szCs w:val="14"/>
      </w:rPr>
      <w:t>Á</w:t>
    </w:r>
    <w:r w:rsidRPr="00A937E1">
      <w:rPr>
        <w:rFonts w:ascii="Arial" w:eastAsia="Arial" w:hAnsi="Arial" w:cs="Arial"/>
        <w:b/>
        <w:spacing w:val="-1"/>
        <w:position w:val="-1"/>
        <w:sz w:val="18"/>
        <w:szCs w:val="14"/>
      </w:rPr>
      <w:t>F</w:t>
    </w:r>
    <w:r w:rsidRPr="00A937E1">
      <w:rPr>
        <w:rFonts w:ascii="Arial" w:eastAsia="Arial" w:hAnsi="Arial" w:cs="Arial"/>
        <w:b/>
        <w:position w:val="-1"/>
        <w:sz w:val="18"/>
        <w:szCs w:val="14"/>
      </w:rPr>
      <w:t>I</w:t>
    </w:r>
    <w:r w:rsidRPr="00A937E1">
      <w:rPr>
        <w:rFonts w:ascii="Arial" w:eastAsia="Arial" w:hAnsi="Arial" w:cs="Arial"/>
        <w:b/>
        <w:spacing w:val="2"/>
        <w:position w:val="-1"/>
        <w:sz w:val="18"/>
        <w:szCs w:val="14"/>
      </w:rPr>
      <w:t>C</w:t>
    </w:r>
    <w:r w:rsidRPr="00A937E1">
      <w:rPr>
        <w:rFonts w:ascii="Arial" w:eastAsia="Arial" w:hAnsi="Arial" w:cs="Arial"/>
        <w:b/>
        <w:position w:val="-1"/>
        <w:sz w:val="18"/>
        <w:szCs w:val="14"/>
      </w:rPr>
      <w:t>A</w:t>
    </w:r>
    <w:r w:rsidRPr="00A937E1">
      <w:rPr>
        <w:rFonts w:ascii="Arial" w:eastAsia="Arial" w:hAnsi="Arial" w:cs="Arial"/>
        <w:b/>
        <w:spacing w:val="-11"/>
        <w:position w:val="-1"/>
        <w:sz w:val="18"/>
        <w:szCs w:val="14"/>
      </w:rPr>
      <w:t xml:space="preserve"> </w:t>
    </w:r>
    <w:r w:rsidRPr="00A937E1">
      <w:rPr>
        <w:rFonts w:ascii="Arial" w:eastAsia="Arial" w:hAnsi="Arial" w:cs="Arial"/>
        <w:b/>
        <w:position w:val="-1"/>
        <w:sz w:val="18"/>
        <w:szCs w:val="14"/>
      </w:rPr>
      <w:t xml:space="preserve">DO </w:t>
    </w:r>
    <w:r w:rsidRPr="00A937E1">
      <w:rPr>
        <w:rFonts w:ascii="Arial" w:eastAsia="Arial" w:hAnsi="Arial" w:cs="Arial"/>
        <w:b/>
        <w:spacing w:val="-2"/>
        <w:position w:val="-1"/>
        <w:sz w:val="18"/>
        <w:szCs w:val="14"/>
      </w:rPr>
      <w:t>A</w:t>
    </w:r>
    <w:r w:rsidRPr="00A937E1">
      <w:rPr>
        <w:rFonts w:ascii="Arial" w:eastAsia="Arial" w:hAnsi="Arial" w:cs="Arial"/>
        <w:b/>
        <w:spacing w:val="1"/>
        <w:position w:val="-1"/>
        <w:sz w:val="18"/>
        <w:szCs w:val="14"/>
      </w:rPr>
      <w:t>L</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O</w:t>
    </w:r>
    <w:r w:rsidRPr="00A937E1">
      <w:rPr>
        <w:rFonts w:ascii="Arial" w:eastAsia="Arial" w:hAnsi="Arial" w:cs="Arial"/>
        <w:b/>
        <w:spacing w:val="-2"/>
        <w:position w:val="-1"/>
        <w:sz w:val="18"/>
        <w:szCs w:val="14"/>
      </w:rPr>
      <w:t xml:space="preserve"> </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IE</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Ê</w:t>
    </w:r>
  </w:p>
  <w:p w14:paraId="5A267C17" w14:textId="0CBF78B9" w:rsidR="00C06696" w:rsidRDefault="00C06696">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1C059" w14:textId="214083A6" w:rsidR="00C06696" w:rsidRDefault="00D95149" w:rsidP="00090AAA">
    <w:pPr>
      <w:pStyle w:val="Cabealho"/>
      <w:jc w:val="right"/>
    </w:pPr>
    <w:r>
      <w:rPr>
        <w:noProof/>
      </w:rPr>
      <w:pict w14:anchorId="3F184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6235" o:spid="_x0000_s14340" type="#_x0000_t136" style="position:absolute;left:0;text-align:left;margin-left:0;margin-top:0;width:468.6pt;height:200.8pt;rotation:315;z-index:-251651072;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p w14:paraId="485227A0" w14:textId="77777777" w:rsidR="00C06696" w:rsidRDefault="00C06696" w:rsidP="00090AAA">
    <w:pPr>
      <w:pStyle w:val="Cabealho"/>
      <w:jc w:val="right"/>
    </w:pPr>
    <w:r>
      <w:rPr>
        <w:noProof/>
      </w:rPr>
      <w:drawing>
        <wp:inline distT="0" distB="0" distL="0" distR="0" wp14:anchorId="782D1005" wp14:editId="73CC7E2F">
          <wp:extent cx="817245" cy="381663"/>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849" cy="382412"/>
                  </a:xfrm>
                  <a:prstGeom prst="rect">
                    <a:avLst/>
                  </a:prstGeom>
                  <a:noFill/>
                </pic:spPr>
              </pic:pic>
            </a:graphicData>
          </a:graphic>
        </wp:inline>
      </w:drawing>
    </w:r>
    <w:r>
      <w:t>__________________________________________________________________________________</w:t>
    </w:r>
  </w:p>
  <w:p w14:paraId="12C70590" w14:textId="77777777" w:rsidR="00C06696" w:rsidRPr="00176B69" w:rsidRDefault="00C06696" w:rsidP="00090AAA">
    <w:pPr>
      <w:spacing w:line="140" w:lineRule="exact"/>
      <w:jc w:val="right"/>
      <w:rPr>
        <w:rFonts w:ascii="Arial" w:eastAsia="Arial" w:hAnsi="Arial" w:cs="Arial"/>
        <w:b/>
        <w:position w:val="-1"/>
        <w:sz w:val="16"/>
        <w:szCs w:val="14"/>
      </w:rPr>
    </w:pPr>
    <w:r w:rsidRPr="00A937E1">
      <w:rPr>
        <w:rFonts w:ascii="Arial" w:eastAsia="Arial" w:hAnsi="Arial" w:cs="Arial"/>
        <w:b/>
        <w:position w:val="-1"/>
        <w:sz w:val="18"/>
        <w:szCs w:val="14"/>
      </w:rPr>
      <w:t>CO</w:t>
    </w:r>
    <w:r w:rsidRPr="00A937E1">
      <w:rPr>
        <w:rFonts w:ascii="Arial" w:eastAsia="Arial" w:hAnsi="Arial" w:cs="Arial"/>
        <w:b/>
        <w:spacing w:val="2"/>
        <w:position w:val="-1"/>
        <w:sz w:val="18"/>
        <w:szCs w:val="14"/>
      </w:rPr>
      <w:t>M</w:t>
    </w:r>
    <w:r w:rsidRPr="00A937E1">
      <w:rPr>
        <w:rFonts w:ascii="Arial" w:eastAsia="Arial" w:hAnsi="Arial" w:cs="Arial"/>
        <w:b/>
        <w:position w:val="-1"/>
        <w:sz w:val="18"/>
        <w:szCs w:val="14"/>
      </w:rPr>
      <w:t>I</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Ê</w:t>
    </w:r>
    <w:r w:rsidRPr="00A937E1">
      <w:rPr>
        <w:rFonts w:ascii="Arial" w:eastAsia="Arial" w:hAnsi="Arial" w:cs="Arial"/>
        <w:b/>
        <w:spacing w:val="-5"/>
        <w:position w:val="-1"/>
        <w:sz w:val="18"/>
        <w:szCs w:val="14"/>
      </w:rPr>
      <w:t xml:space="preserve"> </w:t>
    </w:r>
    <w:r w:rsidRPr="00A937E1">
      <w:rPr>
        <w:rFonts w:ascii="Arial" w:eastAsia="Arial" w:hAnsi="Arial" w:cs="Arial"/>
        <w:b/>
        <w:spacing w:val="2"/>
        <w:position w:val="-1"/>
        <w:sz w:val="18"/>
        <w:szCs w:val="14"/>
      </w:rPr>
      <w:t>D</w:t>
    </w:r>
    <w:r w:rsidRPr="00A937E1">
      <w:rPr>
        <w:rFonts w:ascii="Arial" w:eastAsia="Arial" w:hAnsi="Arial" w:cs="Arial"/>
        <w:b/>
        <w:position w:val="-1"/>
        <w:sz w:val="18"/>
        <w:szCs w:val="14"/>
      </w:rPr>
      <w:t>A</w:t>
    </w:r>
    <w:r w:rsidRPr="00A937E1">
      <w:rPr>
        <w:rFonts w:ascii="Arial" w:eastAsia="Arial" w:hAnsi="Arial" w:cs="Arial"/>
        <w:b/>
        <w:spacing w:val="-2"/>
        <w:position w:val="-1"/>
        <w:sz w:val="18"/>
        <w:szCs w:val="14"/>
      </w:rPr>
      <w:t xml:space="preserve"> </w:t>
    </w:r>
    <w:r w:rsidRPr="00A937E1">
      <w:rPr>
        <w:rFonts w:ascii="Arial" w:eastAsia="Arial" w:hAnsi="Arial" w:cs="Arial"/>
        <w:b/>
        <w:spacing w:val="3"/>
        <w:position w:val="-1"/>
        <w:sz w:val="18"/>
        <w:szCs w:val="14"/>
      </w:rPr>
      <w:t>B</w:t>
    </w:r>
    <w:r w:rsidRPr="00A937E1">
      <w:rPr>
        <w:rFonts w:ascii="Arial" w:eastAsia="Arial" w:hAnsi="Arial" w:cs="Arial"/>
        <w:b/>
        <w:spacing w:val="-2"/>
        <w:position w:val="-1"/>
        <w:sz w:val="18"/>
        <w:szCs w:val="14"/>
      </w:rPr>
      <w:t>A</w:t>
    </w:r>
    <w:r w:rsidRPr="00A937E1">
      <w:rPr>
        <w:rFonts w:ascii="Arial" w:eastAsia="Arial" w:hAnsi="Arial" w:cs="Arial"/>
        <w:b/>
        <w:position w:val="-1"/>
        <w:sz w:val="18"/>
        <w:szCs w:val="14"/>
      </w:rPr>
      <w:t>C</w:t>
    </w:r>
    <w:r w:rsidRPr="00A937E1">
      <w:rPr>
        <w:rFonts w:ascii="Arial" w:eastAsia="Arial" w:hAnsi="Arial" w:cs="Arial"/>
        <w:b/>
        <w:spacing w:val="2"/>
        <w:position w:val="-1"/>
        <w:sz w:val="18"/>
        <w:szCs w:val="14"/>
      </w:rPr>
      <w:t>I</w:t>
    </w:r>
    <w:r w:rsidRPr="00A937E1">
      <w:rPr>
        <w:rFonts w:ascii="Arial" w:eastAsia="Arial" w:hAnsi="Arial" w:cs="Arial"/>
        <w:b/>
        <w:position w:val="-1"/>
        <w:sz w:val="18"/>
        <w:szCs w:val="14"/>
      </w:rPr>
      <w:t>A</w:t>
    </w:r>
    <w:r w:rsidRPr="00A937E1">
      <w:rPr>
        <w:rFonts w:ascii="Arial" w:eastAsia="Arial" w:hAnsi="Arial" w:cs="Arial"/>
        <w:b/>
        <w:spacing w:val="-4"/>
        <w:position w:val="-1"/>
        <w:sz w:val="18"/>
        <w:szCs w:val="14"/>
      </w:rPr>
      <w:t xml:space="preserve"> </w:t>
    </w:r>
    <w:r w:rsidRPr="00A937E1">
      <w:rPr>
        <w:rFonts w:ascii="Arial" w:eastAsia="Arial" w:hAnsi="Arial" w:cs="Arial"/>
        <w:b/>
        <w:position w:val="-1"/>
        <w:sz w:val="18"/>
        <w:szCs w:val="14"/>
      </w:rPr>
      <w:t>HIDR</w:t>
    </w:r>
    <w:r w:rsidRPr="00A937E1">
      <w:rPr>
        <w:rFonts w:ascii="Arial" w:eastAsia="Arial" w:hAnsi="Arial" w:cs="Arial"/>
        <w:b/>
        <w:spacing w:val="2"/>
        <w:position w:val="-1"/>
        <w:sz w:val="18"/>
        <w:szCs w:val="14"/>
      </w:rPr>
      <w:t>O</w:t>
    </w:r>
    <w:r w:rsidRPr="00A937E1">
      <w:rPr>
        <w:rFonts w:ascii="Arial" w:eastAsia="Arial" w:hAnsi="Arial" w:cs="Arial"/>
        <w:b/>
        <w:position w:val="-1"/>
        <w:sz w:val="18"/>
        <w:szCs w:val="14"/>
      </w:rPr>
      <w:t>G</w:t>
    </w:r>
    <w:r w:rsidRPr="00A937E1">
      <w:rPr>
        <w:rFonts w:ascii="Arial" w:eastAsia="Arial" w:hAnsi="Arial" w:cs="Arial"/>
        <w:b/>
        <w:spacing w:val="2"/>
        <w:position w:val="-1"/>
        <w:sz w:val="18"/>
        <w:szCs w:val="14"/>
      </w:rPr>
      <w:t>R</w:t>
    </w:r>
    <w:r w:rsidRPr="00A937E1">
      <w:rPr>
        <w:rFonts w:ascii="Arial" w:eastAsia="Arial" w:hAnsi="Arial" w:cs="Arial"/>
        <w:b/>
        <w:position w:val="-1"/>
        <w:sz w:val="18"/>
        <w:szCs w:val="14"/>
      </w:rPr>
      <w:t>Á</w:t>
    </w:r>
    <w:r w:rsidRPr="00A937E1">
      <w:rPr>
        <w:rFonts w:ascii="Arial" w:eastAsia="Arial" w:hAnsi="Arial" w:cs="Arial"/>
        <w:b/>
        <w:spacing w:val="-1"/>
        <w:position w:val="-1"/>
        <w:sz w:val="18"/>
        <w:szCs w:val="14"/>
      </w:rPr>
      <w:t>F</w:t>
    </w:r>
    <w:r w:rsidRPr="00A937E1">
      <w:rPr>
        <w:rFonts w:ascii="Arial" w:eastAsia="Arial" w:hAnsi="Arial" w:cs="Arial"/>
        <w:b/>
        <w:position w:val="-1"/>
        <w:sz w:val="18"/>
        <w:szCs w:val="14"/>
      </w:rPr>
      <w:t>I</w:t>
    </w:r>
    <w:r w:rsidRPr="00A937E1">
      <w:rPr>
        <w:rFonts w:ascii="Arial" w:eastAsia="Arial" w:hAnsi="Arial" w:cs="Arial"/>
        <w:b/>
        <w:spacing w:val="2"/>
        <w:position w:val="-1"/>
        <w:sz w:val="18"/>
        <w:szCs w:val="14"/>
      </w:rPr>
      <w:t>C</w:t>
    </w:r>
    <w:r w:rsidRPr="00A937E1">
      <w:rPr>
        <w:rFonts w:ascii="Arial" w:eastAsia="Arial" w:hAnsi="Arial" w:cs="Arial"/>
        <w:b/>
        <w:position w:val="-1"/>
        <w:sz w:val="18"/>
        <w:szCs w:val="14"/>
      </w:rPr>
      <w:t>A</w:t>
    </w:r>
    <w:r w:rsidRPr="00A937E1">
      <w:rPr>
        <w:rFonts w:ascii="Arial" w:eastAsia="Arial" w:hAnsi="Arial" w:cs="Arial"/>
        <w:b/>
        <w:spacing w:val="-11"/>
        <w:position w:val="-1"/>
        <w:sz w:val="18"/>
        <w:szCs w:val="14"/>
      </w:rPr>
      <w:t xml:space="preserve"> </w:t>
    </w:r>
    <w:r w:rsidRPr="00A937E1">
      <w:rPr>
        <w:rFonts w:ascii="Arial" w:eastAsia="Arial" w:hAnsi="Arial" w:cs="Arial"/>
        <w:b/>
        <w:position w:val="-1"/>
        <w:sz w:val="18"/>
        <w:szCs w:val="14"/>
      </w:rPr>
      <w:t xml:space="preserve">DO </w:t>
    </w:r>
    <w:r w:rsidRPr="00A937E1">
      <w:rPr>
        <w:rFonts w:ascii="Arial" w:eastAsia="Arial" w:hAnsi="Arial" w:cs="Arial"/>
        <w:b/>
        <w:spacing w:val="-2"/>
        <w:position w:val="-1"/>
        <w:sz w:val="18"/>
        <w:szCs w:val="14"/>
      </w:rPr>
      <w:t>A</w:t>
    </w:r>
    <w:r w:rsidRPr="00A937E1">
      <w:rPr>
        <w:rFonts w:ascii="Arial" w:eastAsia="Arial" w:hAnsi="Arial" w:cs="Arial"/>
        <w:b/>
        <w:spacing w:val="1"/>
        <w:position w:val="-1"/>
        <w:sz w:val="18"/>
        <w:szCs w:val="14"/>
      </w:rPr>
      <w:t>L</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O</w:t>
    </w:r>
    <w:r w:rsidRPr="00A937E1">
      <w:rPr>
        <w:rFonts w:ascii="Arial" w:eastAsia="Arial" w:hAnsi="Arial" w:cs="Arial"/>
        <w:b/>
        <w:spacing w:val="-2"/>
        <w:position w:val="-1"/>
        <w:sz w:val="18"/>
        <w:szCs w:val="14"/>
      </w:rPr>
      <w:t xml:space="preserve"> </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IE</w:t>
    </w:r>
    <w:r w:rsidRPr="00A937E1">
      <w:rPr>
        <w:rFonts w:ascii="Arial" w:eastAsia="Arial" w:hAnsi="Arial" w:cs="Arial"/>
        <w:b/>
        <w:spacing w:val="-1"/>
        <w:position w:val="-1"/>
        <w:sz w:val="18"/>
        <w:szCs w:val="14"/>
      </w:rPr>
      <w:t>T</w:t>
    </w:r>
    <w:r w:rsidRPr="00A937E1">
      <w:rPr>
        <w:rFonts w:ascii="Arial" w:eastAsia="Arial" w:hAnsi="Arial" w:cs="Arial"/>
        <w:b/>
        <w:position w:val="-1"/>
        <w:sz w:val="18"/>
        <w:szCs w:val="14"/>
      </w:rPr>
      <w:t>Ê</w:t>
    </w:r>
  </w:p>
  <w:p w14:paraId="48DAA366" w14:textId="57C79001" w:rsidR="00C06696" w:rsidRDefault="00C0669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66D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CD68AC"/>
    <w:multiLevelType w:val="hybridMultilevel"/>
    <w:tmpl w:val="2E8AC6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B77D4E"/>
    <w:multiLevelType w:val="multilevel"/>
    <w:tmpl w:val="A7DE9FA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4057EA"/>
    <w:multiLevelType w:val="hybridMultilevel"/>
    <w:tmpl w:val="1A78F654"/>
    <w:lvl w:ilvl="0" w:tplc="8834CB30">
      <w:start w:val="1"/>
      <w:numFmt w:val="lowerRoman"/>
      <w:lvlText w:val="%1."/>
      <w:lvlJc w:val="righ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6A258E"/>
    <w:multiLevelType w:val="multilevel"/>
    <w:tmpl w:val="392A4D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0C3E5170"/>
    <w:multiLevelType w:val="hybridMultilevel"/>
    <w:tmpl w:val="E6E68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7B68DE"/>
    <w:multiLevelType w:val="hybridMultilevel"/>
    <w:tmpl w:val="8FAEA88C"/>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7" w15:restartNumberingAfterBreak="0">
    <w:nsid w:val="10A53BD3"/>
    <w:multiLevelType w:val="multilevel"/>
    <w:tmpl w:val="A55C22E6"/>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3640CEE"/>
    <w:multiLevelType w:val="hybridMultilevel"/>
    <w:tmpl w:val="67F0D934"/>
    <w:lvl w:ilvl="0" w:tplc="41801CBA">
      <w:start w:val="1"/>
      <w:numFmt w:val="decimal"/>
      <w:lvlText w:val="%1)"/>
      <w:lvlJc w:val="left"/>
      <w:pPr>
        <w:ind w:left="1410" w:hanging="69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61028A5"/>
    <w:multiLevelType w:val="hybridMultilevel"/>
    <w:tmpl w:val="86D65CDA"/>
    <w:lvl w:ilvl="0" w:tplc="890E43BA">
      <w:start w:val="1"/>
      <w:numFmt w:val="decimal"/>
      <w:lvlText w:val="%1)"/>
      <w:lvlJc w:val="left"/>
      <w:pPr>
        <w:ind w:left="720" w:hanging="360"/>
      </w:pPr>
      <w:rPr>
        <w:rFonts w:hint="default"/>
        <w:b w:val="0"/>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3B10BB"/>
    <w:multiLevelType w:val="multilevel"/>
    <w:tmpl w:val="C9AED17C"/>
    <w:lvl w:ilvl="0">
      <w:start w:val="2"/>
      <w:numFmt w:val="decimal"/>
      <w:lvlText w:val="%1."/>
      <w:lvlJc w:val="left"/>
      <w:pPr>
        <w:ind w:left="720" w:hanging="360"/>
      </w:pPr>
      <w:rPr>
        <w:rFonts w:hint="default"/>
        <w:b/>
      </w:rPr>
    </w:lvl>
    <w:lvl w:ilvl="1">
      <w:start w:val="1"/>
      <w:numFmt w:val="decimal"/>
      <w:isLgl/>
      <w:lvlText w:val="%1.%2"/>
      <w:lvlJc w:val="left"/>
      <w:pPr>
        <w:ind w:left="957" w:hanging="39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11" w15:restartNumberingAfterBreak="0">
    <w:nsid w:val="17677F41"/>
    <w:multiLevelType w:val="multilevel"/>
    <w:tmpl w:val="8EEC717C"/>
    <w:lvl w:ilvl="0">
      <w:start w:val="1"/>
      <w:numFmt w:val="decimal"/>
      <w:lvlText w:val="%1.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Roman"/>
      <w:lvlText w:val="%3."/>
      <w:lvlJc w:val="righ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710871"/>
    <w:multiLevelType w:val="hybridMultilevel"/>
    <w:tmpl w:val="08AE380A"/>
    <w:lvl w:ilvl="0" w:tplc="DF963992">
      <w:start w:val="1"/>
      <w:numFmt w:val="decimal"/>
      <w:lvlText w:val="%1.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B652327"/>
    <w:multiLevelType w:val="hybridMultilevel"/>
    <w:tmpl w:val="A25888F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2AC46AA"/>
    <w:multiLevelType w:val="multilevel"/>
    <w:tmpl w:val="8F2E3DBE"/>
    <w:lvl w:ilvl="0">
      <w:start w:val="2"/>
      <w:numFmt w:val="decimal"/>
      <w:lvlText w:val="%1."/>
      <w:lvlJc w:val="left"/>
      <w:pPr>
        <w:ind w:left="720" w:hanging="360"/>
      </w:pPr>
      <w:rPr>
        <w:rFonts w:hint="default"/>
      </w:rPr>
    </w:lvl>
    <w:lvl w:ilvl="1">
      <w:start w:val="1"/>
      <w:numFmt w:val="decimal"/>
      <w:isLgl/>
      <w:lvlText w:val="%1.%2"/>
      <w:lvlJc w:val="left"/>
      <w:pPr>
        <w:ind w:left="674" w:hanging="39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15" w15:restartNumberingAfterBreak="0">
    <w:nsid w:val="24BA1C69"/>
    <w:multiLevelType w:val="hybridMultilevel"/>
    <w:tmpl w:val="59A46998"/>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458BD"/>
    <w:multiLevelType w:val="hybridMultilevel"/>
    <w:tmpl w:val="80BAED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B936854"/>
    <w:multiLevelType w:val="hybridMultilevel"/>
    <w:tmpl w:val="3A2899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E66363C"/>
    <w:multiLevelType w:val="hybridMultilevel"/>
    <w:tmpl w:val="ABF41B1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F8258EA"/>
    <w:multiLevelType w:val="hybridMultilevel"/>
    <w:tmpl w:val="49000BE0"/>
    <w:lvl w:ilvl="0" w:tplc="EF9A7692">
      <w:start w:val="1"/>
      <w:numFmt w:val="bullet"/>
      <w:pStyle w:val="TxtBAseRec"/>
      <w:lvlText w:val=""/>
      <w:lvlJc w:val="left"/>
      <w:pPr>
        <w:ind w:left="722" w:hanging="360"/>
      </w:pPr>
      <w:rPr>
        <w:rFonts w:ascii="Wingdings" w:hAnsi="Wingdings" w:hint="default"/>
      </w:rPr>
    </w:lvl>
    <w:lvl w:ilvl="1" w:tplc="04160003" w:tentative="1">
      <w:start w:val="1"/>
      <w:numFmt w:val="bullet"/>
      <w:lvlText w:val="o"/>
      <w:lvlJc w:val="left"/>
      <w:pPr>
        <w:ind w:left="1442" w:hanging="360"/>
      </w:pPr>
      <w:rPr>
        <w:rFonts w:ascii="Courier New" w:hAnsi="Courier New" w:cs="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cs="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cs="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0" w15:restartNumberingAfterBreak="0">
    <w:nsid w:val="2F981325"/>
    <w:multiLevelType w:val="hybridMultilevel"/>
    <w:tmpl w:val="9B0A417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32CA283D"/>
    <w:multiLevelType w:val="hybridMultilevel"/>
    <w:tmpl w:val="EF96CD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A701476"/>
    <w:multiLevelType w:val="hybridMultilevel"/>
    <w:tmpl w:val="451A816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736B04"/>
    <w:multiLevelType w:val="multilevel"/>
    <w:tmpl w:val="8EF0180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A567DA"/>
    <w:multiLevelType w:val="hybridMultilevel"/>
    <w:tmpl w:val="CBFE89E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6C63CF"/>
    <w:multiLevelType w:val="hybridMultilevel"/>
    <w:tmpl w:val="40763C82"/>
    <w:lvl w:ilvl="0" w:tplc="0C36E6D0">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FF671F7"/>
    <w:multiLevelType w:val="hybridMultilevel"/>
    <w:tmpl w:val="27F423DA"/>
    <w:lvl w:ilvl="0" w:tplc="DF963992">
      <w:start w:val="1"/>
      <w:numFmt w:val="decimal"/>
      <w:lvlText w:val="%1.1"/>
      <w:lvlJc w:val="left"/>
      <w:pPr>
        <w:ind w:left="1146" w:hanging="360"/>
      </w:pPr>
      <w:rPr>
        <w:rFonts w:hint="default"/>
      </w:rPr>
    </w:lvl>
    <w:lvl w:ilvl="1" w:tplc="DF963992">
      <w:start w:val="1"/>
      <w:numFmt w:val="decimal"/>
      <w:lvlText w:val="%2.1"/>
      <w:lvlJc w:val="left"/>
      <w:pPr>
        <w:ind w:left="1866" w:hanging="360"/>
      </w:pPr>
      <w:rPr>
        <w:rFonts w:hint="default"/>
      </w:r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7" w15:restartNumberingAfterBreak="0">
    <w:nsid w:val="47FE2279"/>
    <w:multiLevelType w:val="hybridMultilevel"/>
    <w:tmpl w:val="5B681F5E"/>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8" w15:restartNumberingAfterBreak="0">
    <w:nsid w:val="4C7E3B74"/>
    <w:multiLevelType w:val="hybridMultilevel"/>
    <w:tmpl w:val="395033A4"/>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DD6241"/>
    <w:multiLevelType w:val="hybridMultilevel"/>
    <w:tmpl w:val="3CA26708"/>
    <w:lvl w:ilvl="0" w:tplc="04160001">
      <w:start w:val="1"/>
      <w:numFmt w:val="bullet"/>
      <w:lvlText w:val=""/>
      <w:lvlJc w:val="left"/>
      <w:pPr>
        <w:ind w:left="1135" w:hanging="360"/>
      </w:pPr>
      <w:rPr>
        <w:rFonts w:ascii="Symbol" w:hAnsi="Symbol" w:hint="default"/>
      </w:rPr>
    </w:lvl>
    <w:lvl w:ilvl="1" w:tplc="04160003" w:tentative="1">
      <w:start w:val="1"/>
      <w:numFmt w:val="bullet"/>
      <w:lvlText w:val="o"/>
      <w:lvlJc w:val="left"/>
      <w:pPr>
        <w:ind w:left="1855" w:hanging="360"/>
      </w:pPr>
      <w:rPr>
        <w:rFonts w:ascii="Courier New" w:hAnsi="Courier New" w:cs="Courier New" w:hint="default"/>
      </w:rPr>
    </w:lvl>
    <w:lvl w:ilvl="2" w:tplc="04160005" w:tentative="1">
      <w:start w:val="1"/>
      <w:numFmt w:val="bullet"/>
      <w:lvlText w:val=""/>
      <w:lvlJc w:val="left"/>
      <w:pPr>
        <w:ind w:left="2575" w:hanging="360"/>
      </w:pPr>
      <w:rPr>
        <w:rFonts w:ascii="Wingdings" w:hAnsi="Wingdings" w:hint="default"/>
      </w:rPr>
    </w:lvl>
    <w:lvl w:ilvl="3" w:tplc="04160001" w:tentative="1">
      <w:start w:val="1"/>
      <w:numFmt w:val="bullet"/>
      <w:lvlText w:val=""/>
      <w:lvlJc w:val="left"/>
      <w:pPr>
        <w:ind w:left="3295" w:hanging="360"/>
      </w:pPr>
      <w:rPr>
        <w:rFonts w:ascii="Symbol" w:hAnsi="Symbol" w:hint="default"/>
      </w:rPr>
    </w:lvl>
    <w:lvl w:ilvl="4" w:tplc="04160003" w:tentative="1">
      <w:start w:val="1"/>
      <w:numFmt w:val="bullet"/>
      <w:lvlText w:val="o"/>
      <w:lvlJc w:val="left"/>
      <w:pPr>
        <w:ind w:left="4015" w:hanging="360"/>
      </w:pPr>
      <w:rPr>
        <w:rFonts w:ascii="Courier New" w:hAnsi="Courier New" w:cs="Courier New" w:hint="default"/>
      </w:rPr>
    </w:lvl>
    <w:lvl w:ilvl="5" w:tplc="04160005" w:tentative="1">
      <w:start w:val="1"/>
      <w:numFmt w:val="bullet"/>
      <w:lvlText w:val=""/>
      <w:lvlJc w:val="left"/>
      <w:pPr>
        <w:ind w:left="4735" w:hanging="360"/>
      </w:pPr>
      <w:rPr>
        <w:rFonts w:ascii="Wingdings" w:hAnsi="Wingdings" w:hint="default"/>
      </w:rPr>
    </w:lvl>
    <w:lvl w:ilvl="6" w:tplc="04160001" w:tentative="1">
      <w:start w:val="1"/>
      <w:numFmt w:val="bullet"/>
      <w:lvlText w:val=""/>
      <w:lvlJc w:val="left"/>
      <w:pPr>
        <w:ind w:left="5455" w:hanging="360"/>
      </w:pPr>
      <w:rPr>
        <w:rFonts w:ascii="Symbol" w:hAnsi="Symbol" w:hint="default"/>
      </w:rPr>
    </w:lvl>
    <w:lvl w:ilvl="7" w:tplc="04160003" w:tentative="1">
      <w:start w:val="1"/>
      <w:numFmt w:val="bullet"/>
      <w:lvlText w:val="o"/>
      <w:lvlJc w:val="left"/>
      <w:pPr>
        <w:ind w:left="6175" w:hanging="360"/>
      </w:pPr>
      <w:rPr>
        <w:rFonts w:ascii="Courier New" w:hAnsi="Courier New" w:cs="Courier New" w:hint="default"/>
      </w:rPr>
    </w:lvl>
    <w:lvl w:ilvl="8" w:tplc="04160005" w:tentative="1">
      <w:start w:val="1"/>
      <w:numFmt w:val="bullet"/>
      <w:lvlText w:val=""/>
      <w:lvlJc w:val="left"/>
      <w:pPr>
        <w:ind w:left="6895" w:hanging="360"/>
      </w:pPr>
      <w:rPr>
        <w:rFonts w:ascii="Wingdings" w:hAnsi="Wingdings" w:hint="default"/>
      </w:rPr>
    </w:lvl>
  </w:abstractNum>
  <w:abstractNum w:abstractNumId="30" w15:restartNumberingAfterBreak="0">
    <w:nsid w:val="5B8136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4E45C2"/>
    <w:multiLevelType w:val="hybridMultilevel"/>
    <w:tmpl w:val="D4545A4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E4C5F75"/>
    <w:multiLevelType w:val="multilevel"/>
    <w:tmpl w:val="1B20ECD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EA11501"/>
    <w:multiLevelType w:val="hybridMultilevel"/>
    <w:tmpl w:val="6DD87DFE"/>
    <w:lvl w:ilvl="0" w:tplc="4AECD0A2">
      <w:numFmt w:val="bullet"/>
      <w:lvlText w:val=""/>
      <w:lvlJc w:val="left"/>
      <w:pPr>
        <w:ind w:left="1065" w:hanging="360"/>
      </w:pPr>
      <w:rPr>
        <w:rFonts w:ascii="Symbol" w:eastAsiaTheme="minorEastAsia"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34" w15:restartNumberingAfterBreak="0">
    <w:nsid w:val="5FD258D7"/>
    <w:multiLevelType w:val="multilevel"/>
    <w:tmpl w:val="507E68E6"/>
    <w:lvl w:ilvl="0">
      <w:start w:val="1"/>
      <w:numFmt w:val="decimal"/>
      <w:lvlText w:val="%1."/>
      <w:lvlJc w:val="left"/>
      <w:pPr>
        <w:ind w:left="360" w:hanging="360"/>
      </w:pPr>
      <w:rPr>
        <w:rFonts w:ascii="Calibri" w:hAnsi="Calibri" w:hint="default"/>
        <w:sz w:val="24"/>
      </w:rPr>
    </w:lvl>
    <w:lvl w:ilvl="1">
      <w:start w:val="1"/>
      <w:numFmt w:val="decimal"/>
      <w:isLgl/>
      <w:lvlText w:val="%1.%2"/>
      <w:lvlJc w:val="left"/>
      <w:pPr>
        <w:ind w:left="629" w:hanging="405"/>
      </w:pPr>
      <w:rPr>
        <w:rFonts w:hint="default"/>
      </w:rPr>
    </w:lvl>
    <w:lvl w:ilvl="2">
      <w:start w:val="1"/>
      <w:numFmt w:val="decimal"/>
      <w:isLgl/>
      <w:lvlText w:val="%1.%2.%3"/>
      <w:lvlJc w:val="left"/>
      <w:pPr>
        <w:ind w:left="1092" w:hanging="720"/>
      </w:pPr>
      <w:rPr>
        <w:rFonts w:hint="default"/>
      </w:rPr>
    </w:lvl>
    <w:lvl w:ilvl="3">
      <w:start w:val="1"/>
      <w:numFmt w:val="decimal"/>
      <w:isLgl/>
      <w:lvlText w:val="%1.%2.%3.%4"/>
      <w:lvlJc w:val="left"/>
      <w:pPr>
        <w:ind w:left="1240" w:hanging="72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1896"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552" w:hanging="1440"/>
      </w:pPr>
      <w:rPr>
        <w:rFonts w:hint="default"/>
      </w:rPr>
    </w:lvl>
    <w:lvl w:ilvl="8">
      <w:start w:val="1"/>
      <w:numFmt w:val="decimal"/>
      <w:isLgl/>
      <w:lvlText w:val="%1.%2.%3.%4.%5.%6.%7.%8.%9"/>
      <w:lvlJc w:val="left"/>
      <w:pPr>
        <w:ind w:left="3060" w:hanging="1800"/>
      </w:pPr>
      <w:rPr>
        <w:rFonts w:hint="default"/>
      </w:rPr>
    </w:lvl>
  </w:abstractNum>
  <w:abstractNum w:abstractNumId="35" w15:restartNumberingAfterBreak="0">
    <w:nsid w:val="622C793B"/>
    <w:multiLevelType w:val="hybridMultilevel"/>
    <w:tmpl w:val="516C16C8"/>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8A25406"/>
    <w:multiLevelType w:val="hybridMultilevel"/>
    <w:tmpl w:val="51161E6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8BE12B6"/>
    <w:multiLevelType w:val="hybridMultilevel"/>
    <w:tmpl w:val="C5A4C6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6A5A9F"/>
    <w:multiLevelType w:val="multilevel"/>
    <w:tmpl w:val="992492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BA2681C"/>
    <w:multiLevelType w:val="multilevel"/>
    <w:tmpl w:val="88F0D27C"/>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32C1D8B"/>
    <w:multiLevelType w:val="hybridMultilevel"/>
    <w:tmpl w:val="0BE4969E"/>
    <w:lvl w:ilvl="0" w:tplc="DF963992">
      <w:start w:val="1"/>
      <w:numFmt w:val="decimal"/>
      <w:lvlText w:val="%1.1"/>
      <w:lvlJc w:val="left"/>
      <w:pPr>
        <w:ind w:left="1077" w:hanging="360"/>
      </w:pPr>
      <w:rPr>
        <w:rFonts w:hint="default"/>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1" w15:restartNumberingAfterBreak="0">
    <w:nsid w:val="79811AEB"/>
    <w:multiLevelType w:val="multilevel"/>
    <w:tmpl w:val="E0D62DF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C64724"/>
    <w:multiLevelType w:val="hybridMultilevel"/>
    <w:tmpl w:val="E362AD7A"/>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3" w15:restartNumberingAfterBreak="0">
    <w:nsid w:val="7ADF1ACF"/>
    <w:multiLevelType w:val="hybridMultilevel"/>
    <w:tmpl w:val="6CB614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BF12125"/>
    <w:multiLevelType w:val="hybridMultilevel"/>
    <w:tmpl w:val="8B666C66"/>
    <w:lvl w:ilvl="0" w:tplc="DF963992">
      <w:start w:val="1"/>
      <w:numFmt w:val="decimal"/>
      <w:lvlText w:val="%1.1"/>
      <w:lvlJc w:val="left"/>
      <w:pPr>
        <w:ind w:left="1077" w:hanging="360"/>
      </w:pPr>
      <w:rPr>
        <w:rFonts w:hint="default"/>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5" w15:restartNumberingAfterBreak="0">
    <w:nsid w:val="7E86330D"/>
    <w:multiLevelType w:val="multilevel"/>
    <w:tmpl w:val="5FBAFE2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15:restartNumberingAfterBreak="0">
    <w:nsid w:val="7EBF2AD3"/>
    <w:multiLevelType w:val="hybridMultilevel"/>
    <w:tmpl w:val="89BA3FAC"/>
    <w:lvl w:ilvl="0" w:tplc="04160001">
      <w:start w:val="1"/>
      <w:numFmt w:val="bullet"/>
      <w:lvlText w:val=""/>
      <w:lvlJc w:val="left"/>
      <w:pPr>
        <w:ind w:left="915" w:hanging="360"/>
      </w:pPr>
      <w:rPr>
        <w:rFonts w:ascii="Symbol" w:hAnsi="Symbol" w:hint="default"/>
      </w:rPr>
    </w:lvl>
    <w:lvl w:ilvl="1" w:tplc="04160003">
      <w:start w:val="1"/>
      <w:numFmt w:val="bullet"/>
      <w:lvlText w:val="o"/>
      <w:lvlJc w:val="left"/>
      <w:pPr>
        <w:ind w:left="1635" w:hanging="360"/>
      </w:pPr>
      <w:rPr>
        <w:rFonts w:ascii="Courier New" w:hAnsi="Courier New" w:cs="Courier New" w:hint="default"/>
      </w:rPr>
    </w:lvl>
    <w:lvl w:ilvl="2" w:tplc="04160005">
      <w:start w:val="1"/>
      <w:numFmt w:val="bullet"/>
      <w:lvlText w:val=""/>
      <w:lvlJc w:val="left"/>
      <w:pPr>
        <w:ind w:left="2355" w:hanging="360"/>
      </w:pPr>
      <w:rPr>
        <w:rFonts w:ascii="Wingdings" w:hAnsi="Wingdings" w:hint="default"/>
      </w:rPr>
    </w:lvl>
    <w:lvl w:ilvl="3" w:tplc="04160001" w:tentative="1">
      <w:start w:val="1"/>
      <w:numFmt w:val="bullet"/>
      <w:lvlText w:val=""/>
      <w:lvlJc w:val="left"/>
      <w:pPr>
        <w:ind w:left="3075" w:hanging="360"/>
      </w:pPr>
      <w:rPr>
        <w:rFonts w:ascii="Symbol" w:hAnsi="Symbol" w:hint="default"/>
      </w:rPr>
    </w:lvl>
    <w:lvl w:ilvl="4" w:tplc="04160003" w:tentative="1">
      <w:start w:val="1"/>
      <w:numFmt w:val="bullet"/>
      <w:lvlText w:val="o"/>
      <w:lvlJc w:val="left"/>
      <w:pPr>
        <w:ind w:left="3795" w:hanging="360"/>
      </w:pPr>
      <w:rPr>
        <w:rFonts w:ascii="Courier New" w:hAnsi="Courier New" w:cs="Courier New" w:hint="default"/>
      </w:rPr>
    </w:lvl>
    <w:lvl w:ilvl="5" w:tplc="04160005" w:tentative="1">
      <w:start w:val="1"/>
      <w:numFmt w:val="bullet"/>
      <w:lvlText w:val=""/>
      <w:lvlJc w:val="left"/>
      <w:pPr>
        <w:ind w:left="4515" w:hanging="360"/>
      </w:pPr>
      <w:rPr>
        <w:rFonts w:ascii="Wingdings" w:hAnsi="Wingdings" w:hint="default"/>
      </w:rPr>
    </w:lvl>
    <w:lvl w:ilvl="6" w:tplc="04160001" w:tentative="1">
      <w:start w:val="1"/>
      <w:numFmt w:val="bullet"/>
      <w:lvlText w:val=""/>
      <w:lvlJc w:val="left"/>
      <w:pPr>
        <w:ind w:left="5235" w:hanging="360"/>
      </w:pPr>
      <w:rPr>
        <w:rFonts w:ascii="Symbol" w:hAnsi="Symbol" w:hint="default"/>
      </w:rPr>
    </w:lvl>
    <w:lvl w:ilvl="7" w:tplc="04160003" w:tentative="1">
      <w:start w:val="1"/>
      <w:numFmt w:val="bullet"/>
      <w:lvlText w:val="o"/>
      <w:lvlJc w:val="left"/>
      <w:pPr>
        <w:ind w:left="5955" w:hanging="360"/>
      </w:pPr>
      <w:rPr>
        <w:rFonts w:ascii="Courier New" w:hAnsi="Courier New" w:cs="Courier New" w:hint="default"/>
      </w:rPr>
    </w:lvl>
    <w:lvl w:ilvl="8" w:tplc="04160005" w:tentative="1">
      <w:start w:val="1"/>
      <w:numFmt w:val="bullet"/>
      <w:lvlText w:val=""/>
      <w:lvlJc w:val="left"/>
      <w:pPr>
        <w:ind w:left="6675" w:hanging="360"/>
      </w:pPr>
      <w:rPr>
        <w:rFonts w:ascii="Wingdings" w:hAnsi="Wingdings" w:hint="default"/>
      </w:rPr>
    </w:lvl>
  </w:abstractNum>
  <w:abstractNum w:abstractNumId="47" w15:restartNumberingAfterBreak="0">
    <w:nsid w:val="7EC93BA0"/>
    <w:multiLevelType w:val="hybridMultilevel"/>
    <w:tmpl w:val="47421EF2"/>
    <w:lvl w:ilvl="0" w:tplc="B1D01DF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F0E2359"/>
    <w:multiLevelType w:val="hybridMultilevel"/>
    <w:tmpl w:val="424E23F6"/>
    <w:lvl w:ilvl="0" w:tplc="49EEB1A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5"/>
  </w:num>
  <w:num w:numId="3">
    <w:abstractNumId w:val="15"/>
  </w:num>
  <w:num w:numId="4">
    <w:abstractNumId w:val="4"/>
  </w:num>
  <w:num w:numId="5">
    <w:abstractNumId w:val="34"/>
  </w:num>
  <w:num w:numId="6">
    <w:abstractNumId w:val="3"/>
  </w:num>
  <w:num w:numId="7">
    <w:abstractNumId w:val="46"/>
  </w:num>
  <w:num w:numId="8">
    <w:abstractNumId w:val="20"/>
  </w:num>
  <w:num w:numId="9">
    <w:abstractNumId w:val="19"/>
  </w:num>
  <w:num w:numId="10">
    <w:abstractNumId w:val="30"/>
  </w:num>
  <w:num w:numId="11">
    <w:abstractNumId w:val="37"/>
  </w:num>
  <w:num w:numId="12">
    <w:abstractNumId w:val="25"/>
  </w:num>
  <w:num w:numId="13">
    <w:abstractNumId w:val="23"/>
  </w:num>
  <w:num w:numId="14">
    <w:abstractNumId w:val="9"/>
  </w:num>
  <w:num w:numId="15">
    <w:abstractNumId w:val="31"/>
  </w:num>
  <w:num w:numId="16">
    <w:abstractNumId w:val="40"/>
  </w:num>
  <w:num w:numId="17">
    <w:abstractNumId w:val="44"/>
  </w:num>
  <w:num w:numId="18">
    <w:abstractNumId w:val="10"/>
  </w:num>
  <w:num w:numId="19">
    <w:abstractNumId w:val="26"/>
  </w:num>
  <w:num w:numId="20">
    <w:abstractNumId w:val="12"/>
  </w:num>
  <w:num w:numId="21">
    <w:abstractNumId w:val="14"/>
  </w:num>
  <w:num w:numId="22">
    <w:abstractNumId w:val="42"/>
  </w:num>
  <w:num w:numId="23">
    <w:abstractNumId w:val="38"/>
  </w:num>
  <w:num w:numId="24">
    <w:abstractNumId w:val="16"/>
  </w:num>
  <w:num w:numId="25">
    <w:abstractNumId w:val="39"/>
  </w:num>
  <w:num w:numId="26">
    <w:abstractNumId w:val="7"/>
  </w:num>
  <w:num w:numId="27">
    <w:abstractNumId w:val="27"/>
  </w:num>
  <w:num w:numId="28">
    <w:abstractNumId w:val="32"/>
  </w:num>
  <w:num w:numId="29">
    <w:abstractNumId w:val="2"/>
  </w:num>
  <w:num w:numId="30">
    <w:abstractNumId w:val="6"/>
  </w:num>
  <w:num w:numId="31">
    <w:abstractNumId w:val="29"/>
  </w:num>
  <w:num w:numId="32">
    <w:abstractNumId w:val="17"/>
  </w:num>
  <w:num w:numId="33">
    <w:abstractNumId w:val="8"/>
  </w:num>
  <w:num w:numId="34">
    <w:abstractNumId w:val="0"/>
  </w:num>
  <w:num w:numId="35">
    <w:abstractNumId w:val="41"/>
  </w:num>
  <w:num w:numId="36">
    <w:abstractNumId w:val="48"/>
  </w:num>
  <w:num w:numId="37">
    <w:abstractNumId w:val="47"/>
  </w:num>
  <w:num w:numId="38">
    <w:abstractNumId w:val="33"/>
  </w:num>
  <w:num w:numId="39">
    <w:abstractNumId w:val="28"/>
  </w:num>
  <w:num w:numId="40">
    <w:abstractNumId w:val="45"/>
  </w:num>
  <w:num w:numId="41">
    <w:abstractNumId w:val="1"/>
  </w:num>
  <w:num w:numId="42">
    <w:abstractNumId w:val="35"/>
  </w:num>
  <w:num w:numId="43">
    <w:abstractNumId w:val="36"/>
  </w:num>
  <w:num w:numId="44">
    <w:abstractNumId w:val="21"/>
  </w:num>
  <w:num w:numId="45">
    <w:abstractNumId w:val="43"/>
  </w:num>
  <w:num w:numId="46">
    <w:abstractNumId w:val="13"/>
  </w:num>
  <w:num w:numId="47">
    <w:abstractNumId w:val="22"/>
  </w:num>
  <w:num w:numId="48">
    <w:abstractNumId w:val="18"/>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344"/>
    <o:shapelayout v:ext="edit">
      <o:idmap v:ext="edit" data="1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F60"/>
    <w:rsid w:val="00003D0D"/>
    <w:rsid w:val="00004043"/>
    <w:rsid w:val="00033A82"/>
    <w:rsid w:val="000348BF"/>
    <w:rsid w:val="000407F1"/>
    <w:rsid w:val="00043707"/>
    <w:rsid w:val="00056927"/>
    <w:rsid w:val="00067A7F"/>
    <w:rsid w:val="00072A3A"/>
    <w:rsid w:val="00076376"/>
    <w:rsid w:val="0007665B"/>
    <w:rsid w:val="00082605"/>
    <w:rsid w:val="00082D07"/>
    <w:rsid w:val="00084E1E"/>
    <w:rsid w:val="00086674"/>
    <w:rsid w:val="000877D1"/>
    <w:rsid w:val="00090AAA"/>
    <w:rsid w:val="000B5CC6"/>
    <w:rsid w:val="000C2AA8"/>
    <w:rsid w:val="000C3E2F"/>
    <w:rsid w:val="000C725B"/>
    <w:rsid w:val="000D241B"/>
    <w:rsid w:val="000D6007"/>
    <w:rsid w:val="000F069A"/>
    <w:rsid w:val="000F2663"/>
    <w:rsid w:val="00107FD8"/>
    <w:rsid w:val="0011081A"/>
    <w:rsid w:val="00134FB7"/>
    <w:rsid w:val="00144132"/>
    <w:rsid w:val="00145ECE"/>
    <w:rsid w:val="001474D0"/>
    <w:rsid w:val="00147931"/>
    <w:rsid w:val="00150B5D"/>
    <w:rsid w:val="00163756"/>
    <w:rsid w:val="0016383A"/>
    <w:rsid w:val="001648F8"/>
    <w:rsid w:val="0016709D"/>
    <w:rsid w:val="0017037F"/>
    <w:rsid w:val="0017055B"/>
    <w:rsid w:val="00171411"/>
    <w:rsid w:val="00176B69"/>
    <w:rsid w:val="0018307C"/>
    <w:rsid w:val="00183753"/>
    <w:rsid w:val="001850AD"/>
    <w:rsid w:val="00187767"/>
    <w:rsid w:val="001A5144"/>
    <w:rsid w:val="001B4017"/>
    <w:rsid w:val="001B7548"/>
    <w:rsid w:val="001C41FB"/>
    <w:rsid w:val="001D1B49"/>
    <w:rsid w:val="001D47DA"/>
    <w:rsid w:val="001D54CC"/>
    <w:rsid w:val="001D6138"/>
    <w:rsid w:val="001D657E"/>
    <w:rsid w:val="00206F9C"/>
    <w:rsid w:val="00210F3A"/>
    <w:rsid w:val="00212CE9"/>
    <w:rsid w:val="002139EB"/>
    <w:rsid w:val="002142EA"/>
    <w:rsid w:val="00234090"/>
    <w:rsid w:val="00242314"/>
    <w:rsid w:val="00255293"/>
    <w:rsid w:val="00257C6B"/>
    <w:rsid w:val="00261A7E"/>
    <w:rsid w:val="0026414C"/>
    <w:rsid w:val="00267436"/>
    <w:rsid w:val="002705C0"/>
    <w:rsid w:val="00277696"/>
    <w:rsid w:val="00283125"/>
    <w:rsid w:val="00286C84"/>
    <w:rsid w:val="0028788D"/>
    <w:rsid w:val="002906DA"/>
    <w:rsid w:val="002A39BA"/>
    <w:rsid w:val="002B588C"/>
    <w:rsid w:val="002C73FF"/>
    <w:rsid w:val="00301B60"/>
    <w:rsid w:val="00303509"/>
    <w:rsid w:val="0030364A"/>
    <w:rsid w:val="003123CF"/>
    <w:rsid w:val="00315194"/>
    <w:rsid w:val="00321B4F"/>
    <w:rsid w:val="00322728"/>
    <w:rsid w:val="00326315"/>
    <w:rsid w:val="0033049F"/>
    <w:rsid w:val="0033347A"/>
    <w:rsid w:val="0033452B"/>
    <w:rsid w:val="00344362"/>
    <w:rsid w:val="00354220"/>
    <w:rsid w:val="00356EA1"/>
    <w:rsid w:val="00367B73"/>
    <w:rsid w:val="00377981"/>
    <w:rsid w:val="00380516"/>
    <w:rsid w:val="00380609"/>
    <w:rsid w:val="00382EAB"/>
    <w:rsid w:val="003C0037"/>
    <w:rsid w:val="003C1168"/>
    <w:rsid w:val="003C4879"/>
    <w:rsid w:val="003C7928"/>
    <w:rsid w:val="003C7CD5"/>
    <w:rsid w:val="003D59A9"/>
    <w:rsid w:val="003E3542"/>
    <w:rsid w:val="003E71BB"/>
    <w:rsid w:val="003E76AF"/>
    <w:rsid w:val="003F04FF"/>
    <w:rsid w:val="00403542"/>
    <w:rsid w:val="00412364"/>
    <w:rsid w:val="00412FD5"/>
    <w:rsid w:val="00423E58"/>
    <w:rsid w:val="004276B9"/>
    <w:rsid w:val="0045680A"/>
    <w:rsid w:val="004652EA"/>
    <w:rsid w:val="004659F3"/>
    <w:rsid w:val="004660FB"/>
    <w:rsid w:val="00466BE6"/>
    <w:rsid w:val="00472B4D"/>
    <w:rsid w:val="0048178A"/>
    <w:rsid w:val="00490A09"/>
    <w:rsid w:val="00494DBE"/>
    <w:rsid w:val="004A26CA"/>
    <w:rsid w:val="004A29A4"/>
    <w:rsid w:val="004A416C"/>
    <w:rsid w:val="004A4486"/>
    <w:rsid w:val="004B463F"/>
    <w:rsid w:val="004B4D1A"/>
    <w:rsid w:val="004C1126"/>
    <w:rsid w:val="004C34B3"/>
    <w:rsid w:val="004C5278"/>
    <w:rsid w:val="004C67FD"/>
    <w:rsid w:val="004D2FFF"/>
    <w:rsid w:val="004D4268"/>
    <w:rsid w:val="004D4F85"/>
    <w:rsid w:val="004D5358"/>
    <w:rsid w:val="004D6E20"/>
    <w:rsid w:val="004E6594"/>
    <w:rsid w:val="004F01BA"/>
    <w:rsid w:val="004F6D5C"/>
    <w:rsid w:val="004F7579"/>
    <w:rsid w:val="00504BAA"/>
    <w:rsid w:val="00505A41"/>
    <w:rsid w:val="00510858"/>
    <w:rsid w:val="005133A6"/>
    <w:rsid w:val="00517E94"/>
    <w:rsid w:val="00523E16"/>
    <w:rsid w:val="005355FD"/>
    <w:rsid w:val="00543FFD"/>
    <w:rsid w:val="00547579"/>
    <w:rsid w:val="0055094B"/>
    <w:rsid w:val="0055323A"/>
    <w:rsid w:val="005544FC"/>
    <w:rsid w:val="00564D7E"/>
    <w:rsid w:val="00581176"/>
    <w:rsid w:val="00587D65"/>
    <w:rsid w:val="00591D3E"/>
    <w:rsid w:val="005921A2"/>
    <w:rsid w:val="00592C38"/>
    <w:rsid w:val="005A19F0"/>
    <w:rsid w:val="005A4C35"/>
    <w:rsid w:val="005A5922"/>
    <w:rsid w:val="005C688D"/>
    <w:rsid w:val="005D7E84"/>
    <w:rsid w:val="005E3115"/>
    <w:rsid w:val="005E41CD"/>
    <w:rsid w:val="005F6707"/>
    <w:rsid w:val="005F6992"/>
    <w:rsid w:val="00602EA5"/>
    <w:rsid w:val="00621B8D"/>
    <w:rsid w:val="00627612"/>
    <w:rsid w:val="006351D1"/>
    <w:rsid w:val="00642F55"/>
    <w:rsid w:val="00674B11"/>
    <w:rsid w:val="006774E8"/>
    <w:rsid w:val="006A2E0C"/>
    <w:rsid w:val="006B6D4F"/>
    <w:rsid w:val="006C3621"/>
    <w:rsid w:val="006D79EF"/>
    <w:rsid w:val="006D7EEC"/>
    <w:rsid w:val="006E30C7"/>
    <w:rsid w:val="006E42DB"/>
    <w:rsid w:val="006E63E0"/>
    <w:rsid w:val="006F5316"/>
    <w:rsid w:val="0070498E"/>
    <w:rsid w:val="007159C2"/>
    <w:rsid w:val="00727060"/>
    <w:rsid w:val="00732B52"/>
    <w:rsid w:val="00734663"/>
    <w:rsid w:val="0073649A"/>
    <w:rsid w:val="0074300F"/>
    <w:rsid w:val="00745EE6"/>
    <w:rsid w:val="00766AA1"/>
    <w:rsid w:val="00772A40"/>
    <w:rsid w:val="007815D5"/>
    <w:rsid w:val="00786C37"/>
    <w:rsid w:val="00793D1E"/>
    <w:rsid w:val="00794B48"/>
    <w:rsid w:val="007A0341"/>
    <w:rsid w:val="007B2CCC"/>
    <w:rsid w:val="007B3507"/>
    <w:rsid w:val="007B3BDE"/>
    <w:rsid w:val="007B5327"/>
    <w:rsid w:val="007B63D3"/>
    <w:rsid w:val="007D2226"/>
    <w:rsid w:val="007F5E76"/>
    <w:rsid w:val="008002F5"/>
    <w:rsid w:val="008114C7"/>
    <w:rsid w:val="0081364C"/>
    <w:rsid w:val="00817676"/>
    <w:rsid w:val="0082009F"/>
    <w:rsid w:val="00825804"/>
    <w:rsid w:val="008266BA"/>
    <w:rsid w:val="00844610"/>
    <w:rsid w:val="0085096C"/>
    <w:rsid w:val="008606CA"/>
    <w:rsid w:val="00861233"/>
    <w:rsid w:val="008635BB"/>
    <w:rsid w:val="0087517B"/>
    <w:rsid w:val="00882F60"/>
    <w:rsid w:val="00887204"/>
    <w:rsid w:val="008B1DBD"/>
    <w:rsid w:val="008B5328"/>
    <w:rsid w:val="008C7E80"/>
    <w:rsid w:val="008D4EAF"/>
    <w:rsid w:val="008F7D7A"/>
    <w:rsid w:val="00906D28"/>
    <w:rsid w:val="009252DD"/>
    <w:rsid w:val="0093273E"/>
    <w:rsid w:val="00936F3D"/>
    <w:rsid w:val="00952506"/>
    <w:rsid w:val="00954C9B"/>
    <w:rsid w:val="00964B23"/>
    <w:rsid w:val="009652F7"/>
    <w:rsid w:val="009704D1"/>
    <w:rsid w:val="00971FEE"/>
    <w:rsid w:val="00973987"/>
    <w:rsid w:val="0097483D"/>
    <w:rsid w:val="0097583B"/>
    <w:rsid w:val="009831EC"/>
    <w:rsid w:val="0099280C"/>
    <w:rsid w:val="009A2DEA"/>
    <w:rsid w:val="009B567A"/>
    <w:rsid w:val="009B5C64"/>
    <w:rsid w:val="009C48DD"/>
    <w:rsid w:val="009D3400"/>
    <w:rsid w:val="009D63CE"/>
    <w:rsid w:val="009E2F2A"/>
    <w:rsid w:val="009F14E4"/>
    <w:rsid w:val="00A1117D"/>
    <w:rsid w:val="00A13AE0"/>
    <w:rsid w:val="00A17452"/>
    <w:rsid w:val="00A17B1D"/>
    <w:rsid w:val="00A2062C"/>
    <w:rsid w:val="00A35683"/>
    <w:rsid w:val="00A43BD5"/>
    <w:rsid w:val="00A441C8"/>
    <w:rsid w:val="00A52765"/>
    <w:rsid w:val="00A56E14"/>
    <w:rsid w:val="00A632E9"/>
    <w:rsid w:val="00A64C20"/>
    <w:rsid w:val="00A65342"/>
    <w:rsid w:val="00A74377"/>
    <w:rsid w:val="00A87E36"/>
    <w:rsid w:val="00A959B4"/>
    <w:rsid w:val="00AB0356"/>
    <w:rsid w:val="00AB2BC9"/>
    <w:rsid w:val="00AB36E5"/>
    <w:rsid w:val="00AB7A6B"/>
    <w:rsid w:val="00AD4004"/>
    <w:rsid w:val="00AD62DD"/>
    <w:rsid w:val="00AD64A8"/>
    <w:rsid w:val="00AF29B3"/>
    <w:rsid w:val="00B00186"/>
    <w:rsid w:val="00B0786D"/>
    <w:rsid w:val="00B178B9"/>
    <w:rsid w:val="00B17DA2"/>
    <w:rsid w:val="00B216D6"/>
    <w:rsid w:val="00B40B99"/>
    <w:rsid w:val="00B44777"/>
    <w:rsid w:val="00B44853"/>
    <w:rsid w:val="00B53F1A"/>
    <w:rsid w:val="00B54A34"/>
    <w:rsid w:val="00B61B21"/>
    <w:rsid w:val="00B6650B"/>
    <w:rsid w:val="00B67E11"/>
    <w:rsid w:val="00B836EB"/>
    <w:rsid w:val="00B87439"/>
    <w:rsid w:val="00BA3ECF"/>
    <w:rsid w:val="00BA4796"/>
    <w:rsid w:val="00BB2A2A"/>
    <w:rsid w:val="00BB71BC"/>
    <w:rsid w:val="00BC6456"/>
    <w:rsid w:val="00BD5A96"/>
    <w:rsid w:val="00BD7C58"/>
    <w:rsid w:val="00BF58DC"/>
    <w:rsid w:val="00C06696"/>
    <w:rsid w:val="00C139D3"/>
    <w:rsid w:val="00C15E6A"/>
    <w:rsid w:val="00C23AF6"/>
    <w:rsid w:val="00C27BDD"/>
    <w:rsid w:val="00C430FD"/>
    <w:rsid w:val="00C71115"/>
    <w:rsid w:val="00CA3BC8"/>
    <w:rsid w:val="00CB60D4"/>
    <w:rsid w:val="00CD3110"/>
    <w:rsid w:val="00CE7201"/>
    <w:rsid w:val="00D234E4"/>
    <w:rsid w:val="00D2516B"/>
    <w:rsid w:val="00D45B15"/>
    <w:rsid w:val="00D605E6"/>
    <w:rsid w:val="00D6313B"/>
    <w:rsid w:val="00D71E31"/>
    <w:rsid w:val="00D72BC2"/>
    <w:rsid w:val="00D95149"/>
    <w:rsid w:val="00DA414D"/>
    <w:rsid w:val="00DB34FA"/>
    <w:rsid w:val="00DC1D18"/>
    <w:rsid w:val="00DD20BF"/>
    <w:rsid w:val="00DE18CC"/>
    <w:rsid w:val="00DF0720"/>
    <w:rsid w:val="00DF7A81"/>
    <w:rsid w:val="00E017CE"/>
    <w:rsid w:val="00E23541"/>
    <w:rsid w:val="00E25B3C"/>
    <w:rsid w:val="00E32E79"/>
    <w:rsid w:val="00E34060"/>
    <w:rsid w:val="00E35018"/>
    <w:rsid w:val="00E421C9"/>
    <w:rsid w:val="00E44CF4"/>
    <w:rsid w:val="00E537E3"/>
    <w:rsid w:val="00E55814"/>
    <w:rsid w:val="00E56344"/>
    <w:rsid w:val="00E566D9"/>
    <w:rsid w:val="00E6757D"/>
    <w:rsid w:val="00E67C01"/>
    <w:rsid w:val="00E7086E"/>
    <w:rsid w:val="00E73AB1"/>
    <w:rsid w:val="00E94CB6"/>
    <w:rsid w:val="00E96724"/>
    <w:rsid w:val="00E96D74"/>
    <w:rsid w:val="00E9748F"/>
    <w:rsid w:val="00EA42A5"/>
    <w:rsid w:val="00EA504F"/>
    <w:rsid w:val="00EB7E94"/>
    <w:rsid w:val="00ED4B62"/>
    <w:rsid w:val="00EE1C1B"/>
    <w:rsid w:val="00EF1FEE"/>
    <w:rsid w:val="00F01FD6"/>
    <w:rsid w:val="00F05902"/>
    <w:rsid w:val="00F3516C"/>
    <w:rsid w:val="00F3585A"/>
    <w:rsid w:val="00F35CA2"/>
    <w:rsid w:val="00F360B6"/>
    <w:rsid w:val="00F41C7C"/>
    <w:rsid w:val="00F45125"/>
    <w:rsid w:val="00F50B0C"/>
    <w:rsid w:val="00F5425F"/>
    <w:rsid w:val="00F62C53"/>
    <w:rsid w:val="00F73D0E"/>
    <w:rsid w:val="00F760BD"/>
    <w:rsid w:val="00F87146"/>
    <w:rsid w:val="00F9414E"/>
    <w:rsid w:val="00F951DD"/>
    <w:rsid w:val="00FA00A0"/>
    <w:rsid w:val="00FA23CE"/>
    <w:rsid w:val="00FB30D5"/>
    <w:rsid w:val="00FB517A"/>
    <w:rsid w:val="00FD1731"/>
    <w:rsid w:val="00FD3AED"/>
    <w:rsid w:val="00FE4012"/>
    <w:rsid w:val="00FF7B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44"/>
    <o:shapelayout v:ext="edit">
      <o:idmap v:ext="edit" data="1"/>
    </o:shapelayout>
  </w:shapeDefaults>
  <w:decimalSymbol w:val=","/>
  <w:listSeparator w:val=";"/>
  <w14:docId w14:val="0EBF934E"/>
  <w15:docId w15:val="{B7CF5288-3940-46B7-925D-FE0527BC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22728"/>
    <w:pPr>
      <w:keepNext/>
      <w:numPr>
        <w:numId w:val="4"/>
      </w:numPr>
      <w:spacing w:before="240" w:after="60" w:line="240" w:lineRule="auto"/>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har"/>
    <w:uiPriority w:val="9"/>
    <w:unhideWhenUsed/>
    <w:qFormat/>
    <w:rsid w:val="00322728"/>
    <w:pPr>
      <w:keepNext/>
      <w:numPr>
        <w:ilvl w:val="1"/>
        <w:numId w:val="4"/>
      </w:numPr>
      <w:spacing w:before="240" w:after="60" w:line="240" w:lineRule="auto"/>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har"/>
    <w:uiPriority w:val="9"/>
    <w:unhideWhenUsed/>
    <w:qFormat/>
    <w:rsid w:val="00322728"/>
    <w:pPr>
      <w:keepNext/>
      <w:numPr>
        <w:ilvl w:val="2"/>
        <w:numId w:val="4"/>
      </w:numPr>
      <w:spacing w:before="240" w:after="60" w:line="240" w:lineRule="auto"/>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har"/>
    <w:uiPriority w:val="9"/>
    <w:semiHidden/>
    <w:unhideWhenUsed/>
    <w:qFormat/>
    <w:rsid w:val="00322728"/>
    <w:pPr>
      <w:keepNext/>
      <w:numPr>
        <w:ilvl w:val="3"/>
        <w:numId w:val="4"/>
      </w:numPr>
      <w:spacing w:before="240" w:after="60" w:line="240" w:lineRule="auto"/>
      <w:outlineLvl w:val="3"/>
    </w:pPr>
    <w:rPr>
      <w:b/>
      <w:bCs/>
      <w:sz w:val="28"/>
      <w:szCs w:val="28"/>
      <w:lang w:val="en-US" w:eastAsia="en-US"/>
    </w:rPr>
  </w:style>
  <w:style w:type="paragraph" w:styleId="Ttulo5">
    <w:name w:val="heading 5"/>
    <w:basedOn w:val="Normal"/>
    <w:next w:val="Normal"/>
    <w:link w:val="Ttulo5Char"/>
    <w:uiPriority w:val="9"/>
    <w:semiHidden/>
    <w:unhideWhenUsed/>
    <w:qFormat/>
    <w:rsid w:val="00322728"/>
    <w:pPr>
      <w:numPr>
        <w:ilvl w:val="4"/>
        <w:numId w:val="4"/>
      </w:numPr>
      <w:spacing w:before="240" w:after="60" w:line="240" w:lineRule="auto"/>
      <w:outlineLvl w:val="4"/>
    </w:pPr>
    <w:rPr>
      <w:b/>
      <w:bCs/>
      <w:i/>
      <w:iCs/>
      <w:sz w:val="26"/>
      <w:szCs w:val="26"/>
      <w:lang w:val="en-US" w:eastAsia="en-US"/>
    </w:rPr>
  </w:style>
  <w:style w:type="paragraph" w:styleId="Ttulo6">
    <w:name w:val="heading 6"/>
    <w:basedOn w:val="Normal"/>
    <w:next w:val="Normal"/>
    <w:link w:val="Ttulo6Char"/>
    <w:qFormat/>
    <w:rsid w:val="00322728"/>
    <w:pPr>
      <w:numPr>
        <w:ilvl w:val="5"/>
        <w:numId w:val="4"/>
      </w:numPr>
      <w:spacing w:before="240" w:after="60" w:line="240" w:lineRule="auto"/>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har"/>
    <w:uiPriority w:val="9"/>
    <w:semiHidden/>
    <w:unhideWhenUsed/>
    <w:qFormat/>
    <w:rsid w:val="00322728"/>
    <w:pPr>
      <w:numPr>
        <w:ilvl w:val="6"/>
        <w:numId w:val="4"/>
      </w:numPr>
      <w:spacing w:before="240" w:after="60" w:line="240" w:lineRule="auto"/>
      <w:outlineLvl w:val="6"/>
    </w:pPr>
    <w:rPr>
      <w:sz w:val="24"/>
      <w:szCs w:val="24"/>
      <w:lang w:val="en-US" w:eastAsia="en-US"/>
    </w:rPr>
  </w:style>
  <w:style w:type="paragraph" w:styleId="Ttulo8">
    <w:name w:val="heading 8"/>
    <w:basedOn w:val="Normal"/>
    <w:next w:val="Normal"/>
    <w:link w:val="Ttulo8Char"/>
    <w:uiPriority w:val="9"/>
    <w:semiHidden/>
    <w:unhideWhenUsed/>
    <w:qFormat/>
    <w:rsid w:val="00322728"/>
    <w:pPr>
      <w:numPr>
        <w:ilvl w:val="7"/>
        <w:numId w:val="4"/>
      </w:numPr>
      <w:spacing w:before="240" w:after="60" w:line="240" w:lineRule="auto"/>
      <w:outlineLvl w:val="7"/>
    </w:pPr>
    <w:rPr>
      <w:i/>
      <w:iCs/>
      <w:sz w:val="24"/>
      <w:szCs w:val="24"/>
      <w:lang w:val="en-US" w:eastAsia="en-US"/>
    </w:rPr>
  </w:style>
  <w:style w:type="paragraph" w:styleId="Ttulo9">
    <w:name w:val="heading 9"/>
    <w:basedOn w:val="Normal"/>
    <w:next w:val="Normal"/>
    <w:link w:val="Ttulo9Char"/>
    <w:uiPriority w:val="9"/>
    <w:semiHidden/>
    <w:unhideWhenUsed/>
    <w:qFormat/>
    <w:rsid w:val="00322728"/>
    <w:pPr>
      <w:numPr>
        <w:ilvl w:val="8"/>
        <w:numId w:val="4"/>
      </w:numPr>
      <w:spacing w:before="240" w:after="60" w:line="240" w:lineRule="auto"/>
      <w:outlineLvl w:val="8"/>
    </w:pPr>
    <w:rPr>
      <w:rFonts w:asciiTheme="majorHAnsi" w:eastAsiaTheme="majorEastAsia" w:hAnsiTheme="majorHAnsi" w:cstheme="majorBidi"/>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7086E"/>
    <w:pPr>
      <w:ind w:left="720"/>
      <w:contextualSpacing/>
    </w:pPr>
  </w:style>
  <w:style w:type="paragraph" w:styleId="NormalWeb">
    <w:name w:val="Normal (Web)"/>
    <w:basedOn w:val="Normal"/>
    <w:uiPriority w:val="99"/>
    <w:rsid w:val="00621B8D"/>
    <w:pPr>
      <w:spacing w:before="100" w:beforeAutospacing="1" w:after="100" w:afterAutospacing="1" w:line="240" w:lineRule="auto"/>
    </w:pPr>
    <w:rPr>
      <w:rFonts w:ascii="Arial Unicode MS" w:eastAsia="Arial Unicode MS" w:hAnsi="Arial Unicode MS" w:cs="Arial Unicode MS"/>
      <w:sz w:val="20"/>
      <w:szCs w:val="20"/>
    </w:rPr>
  </w:style>
  <w:style w:type="paragraph" w:styleId="Recuodecorpodetexto2">
    <w:name w:val="Body Text Indent 2"/>
    <w:basedOn w:val="Normal"/>
    <w:link w:val="Recuodecorpodetexto2Char"/>
    <w:rsid w:val="00621B8D"/>
    <w:pPr>
      <w:widowControl w:val="0"/>
      <w:autoSpaceDE w:val="0"/>
      <w:autoSpaceDN w:val="0"/>
      <w:adjustRightInd w:val="0"/>
      <w:spacing w:after="0" w:line="240" w:lineRule="auto"/>
      <w:ind w:left="284" w:hanging="284"/>
    </w:pPr>
    <w:rPr>
      <w:rFonts w:ascii="Arial" w:eastAsia="Times New Roman" w:hAnsi="Arial" w:cs="Arial"/>
      <w:sz w:val="20"/>
      <w:szCs w:val="20"/>
    </w:rPr>
  </w:style>
  <w:style w:type="character" w:customStyle="1" w:styleId="Recuodecorpodetexto2Char">
    <w:name w:val="Recuo de corpo de texto 2 Char"/>
    <w:basedOn w:val="Fontepargpadro"/>
    <w:link w:val="Recuodecorpodetexto2"/>
    <w:rsid w:val="00621B8D"/>
    <w:rPr>
      <w:rFonts w:ascii="Arial" w:eastAsia="Times New Roman" w:hAnsi="Arial" w:cs="Arial"/>
      <w:sz w:val="20"/>
      <w:szCs w:val="20"/>
    </w:rPr>
  </w:style>
  <w:style w:type="paragraph" w:styleId="Textodebalo">
    <w:name w:val="Balloon Text"/>
    <w:basedOn w:val="Normal"/>
    <w:link w:val="TextodebaloChar"/>
    <w:uiPriority w:val="99"/>
    <w:semiHidden/>
    <w:unhideWhenUsed/>
    <w:rsid w:val="003227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2728"/>
    <w:rPr>
      <w:rFonts w:ascii="Tahoma" w:hAnsi="Tahoma" w:cs="Tahoma"/>
      <w:sz w:val="16"/>
      <w:szCs w:val="16"/>
    </w:rPr>
  </w:style>
  <w:style w:type="character" w:customStyle="1" w:styleId="Ttulo1Char">
    <w:name w:val="Título 1 Char"/>
    <w:basedOn w:val="Fontepargpadro"/>
    <w:link w:val="Ttulo1"/>
    <w:uiPriority w:val="9"/>
    <w:rsid w:val="00322728"/>
    <w:rPr>
      <w:rFonts w:asciiTheme="majorHAnsi" w:eastAsiaTheme="majorEastAsia" w:hAnsiTheme="majorHAnsi" w:cstheme="majorBidi"/>
      <w:b/>
      <w:bCs/>
      <w:kern w:val="32"/>
      <w:sz w:val="32"/>
      <w:szCs w:val="32"/>
      <w:lang w:val="en-US" w:eastAsia="en-US"/>
    </w:rPr>
  </w:style>
  <w:style w:type="character" w:customStyle="1" w:styleId="Ttulo2Char">
    <w:name w:val="Título 2 Char"/>
    <w:basedOn w:val="Fontepargpadro"/>
    <w:link w:val="Ttulo2"/>
    <w:uiPriority w:val="9"/>
    <w:rsid w:val="00322728"/>
    <w:rPr>
      <w:rFonts w:asciiTheme="majorHAnsi" w:eastAsiaTheme="majorEastAsia" w:hAnsiTheme="majorHAnsi" w:cstheme="majorBidi"/>
      <w:b/>
      <w:bCs/>
      <w:i/>
      <w:iCs/>
      <w:sz w:val="28"/>
      <w:szCs w:val="28"/>
      <w:lang w:val="en-US" w:eastAsia="en-US"/>
    </w:rPr>
  </w:style>
  <w:style w:type="character" w:customStyle="1" w:styleId="Ttulo3Char">
    <w:name w:val="Título 3 Char"/>
    <w:basedOn w:val="Fontepargpadro"/>
    <w:link w:val="Ttulo3"/>
    <w:uiPriority w:val="9"/>
    <w:rsid w:val="00322728"/>
    <w:rPr>
      <w:rFonts w:asciiTheme="majorHAnsi" w:eastAsiaTheme="majorEastAsia" w:hAnsiTheme="majorHAnsi" w:cstheme="majorBidi"/>
      <w:b/>
      <w:bCs/>
      <w:sz w:val="26"/>
      <w:szCs w:val="26"/>
      <w:lang w:val="en-US" w:eastAsia="en-US"/>
    </w:rPr>
  </w:style>
  <w:style w:type="character" w:customStyle="1" w:styleId="Ttulo4Char">
    <w:name w:val="Título 4 Char"/>
    <w:basedOn w:val="Fontepargpadro"/>
    <w:link w:val="Ttulo4"/>
    <w:uiPriority w:val="9"/>
    <w:semiHidden/>
    <w:rsid w:val="00322728"/>
    <w:rPr>
      <w:b/>
      <w:bCs/>
      <w:sz w:val="28"/>
      <w:szCs w:val="28"/>
      <w:lang w:val="en-US" w:eastAsia="en-US"/>
    </w:rPr>
  </w:style>
  <w:style w:type="character" w:customStyle="1" w:styleId="Ttulo5Char">
    <w:name w:val="Título 5 Char"/>
    <w:basedOn w:val="Fontepargpadro"/>
    <w:link w:val="Ttulo5"/>
    <w:uiPriority w:val="9"/>
    <w:semiHidden/>
    <w:rsid w:val="00322728"/>
    <w:rPr>
      <w:b/>
      <w:bCs/>
      <w:i/>
      <w:iCs/>
      <w:sz w:val="26"/>
      <w:szCs w:val="26"/>
      <w:lang w:val="en-US" w:eastAsia="en-US"/>
    </w:rPr>
  </w:style>
  <w:style w:type="character" w:customStyle="1" w:styleId="Ttulo6Char">
    <w:name w:val="Título 6 Char"/>
    <w:basedOn w:val="Fontepargpadro"/>
    <w:link w:val="Ttulo6"/>
    <w:rsid w:val="00322728"/>
    <w:rPr>
      <w:rFonts w:ascii="Times New Roman" w:eastAsia="Times New Roman" w:hAnsi="Times New Roman" w:cs="Times New Roman"/>
      <w:b/>
      <w:bCs/>
      <w:lang w:val="en-US" w:eastAsia="en-US"/>
    </w:rPr>
  </w:style>
  <w:style w:type="character" w:customStyle="1" w:styleId="Ttulo7Char">
    <w:name w:val="Título 7 Char"/>
    <w:basedOn w:val="Fontepargpadro"/>
    <w:link w:val="Ttulo7"/>
    <w:uiPriority w:val="9"/>
    <w:semiHidden/>
    <w:rsid w:val="00322728"/>
    <w:rPr>
      <w:sz w:val="24"/>
      <w:szCs w:val="24"/>
      <w:lang w:val="en-US" w:eastAsia="en-US"/>
    </w:rPr>
  </w:style>
  <w:style w:type="character" w:customStyle="1" w:styleId="Ttulo8Char">
    <w:name w:val="Título 8 Char"/>
    <w:basedOn w:val="Fontepargpadro"/>
    <w:link w:val="Ttulo8"/>
    <w:uiPriority w:val="9"/>
    <w:semiHidden/>
    <w:rsid w:val="00322728"/>
    <w:rPr>
      <w:i/>
      <w:iCs/>
      <w:sz w:val="24"/>
      <w:szCs w:val="24"/>
      <w:lang w:val="en-US" w:eastAsia="en-US"/>
    </w:rPr>
  </w:style>
  <w:style w:type="character" w:customStyle="1" w:styleId="Ttulo9Char">
    <w:name w:val="Título 9 Char"/>
    <w:basedOn w:val="Fontepargpadro"/>
    <w:link w:val="Ttulo9"/>
    <w:uiPriority w:val="9"/>
    <w:semiHidden/>
    <w:rsid w:val="00322728"/>
    <w:rPr>
      <w:rFonts w:asciiTheme="majorHAnsi" w:eastAsiaTheme="majorEastAsia" w:hAnsiTheme="majorHAnsi" w:cstheme="majorBidi"/>
      <w:lang w:val="en-US" w:eastAsia="en-US"/>
    </w:rPr>
  </w:style>
  <w:style w:type="paragraph" w:styleId="Textodenotaderodap">
    <w:name w:val="footnote text"/>
    <w:basedOn w:val="Normal"/>
    <w:link w:val="TextodenotaderodapChar"/>
    <w:uiPriority w:val="99"/>
    <w:unhideWhenUsed/>
    <w:rsid w:val="0032272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322728"/>
    <w:rPr>
      <w:sz w:val="20"/>
      <w:szCs w:val="20"/>
    </w:rPr>
  </w:style>
  <w:style w:type="character" w:styleId="Refdenotaderodap">
    <w:name w:val="footnote reference"/>
    <w:basedOn w:val="Fontepargpadro"/>
    <w:uiPriority w:val="99"/>
    <w:semiHidden/>
    <w:unhideWhenUsed/>
    <w:rsid w:val="00322728"/>
    <w:rPr>
      <w:vertAlign w:val="superscript"/>
    </w:rPr>
  </w:style>
  <w:style w:type="paragraph" w:customStyle="1" w:styleId="TxtBAseRec">
    <w:name w:val="Txt BAse Rec"/>
    <w:basedOn w:val="Normal"/>
    <w:link w:val="TxtBAseRecChar"/>
    <w:qFormat/>
    <w:rsid w:val="00107FD8"/>
    <w:pPr>
      <w:numPr>
        <w:numId w:val="9"/>
      </w:numPr>
      <w:tabs>
        <w:tab w:val="left" w:pos="113"/>
        <w:tab w:val="left" w:pos="284"/>
      </w:tabs>
      <w:spacing w:after="240" w:line="240" w:lineRule="auto"/>
      <w:jc w:val="both"/>
    </w:pPr>
    <w:rPr>
      <w:rFonts w:ascii="Times New Roman" w:eastAsia="Calibri" w:hAnsi="Times New Roman" w:cs="Times New Roman"/>
      <w:sz w:val="24"/>
      <w:lang w:val="x-none" w:eastAsia="en-US"/>
    </w:rPr>
  </w:style>
  <w:style w:type="character" w:customStyle="1" w:styleId="TxtBAseRecChar">
    <w:name w:val="Txt BAse Rec Char"/>
    <w:basedOn w:val="Fontepargpadro"/>
    <w:link w:val="TxtBAseRec"/>
    <w:rsid w:val="00107FD8"/>
    <w:rPr>
      <w:rFonts w:ascii="Times New Roman" w:eastAsia="Calibri" w:hAnsi="Times New Roman" w:cs="Times New Roman"/>
      <w:sz w:val="24"/>
      <w:lang w:val="x-none" w:eastAsia="en-US"/>
    </w:rPr>
  </w:style>
  <w:style w:type="paragraph" w:styleId="Cabealho">
    <w:name w:val="header"/>
    <w:basedOn w:val="Normal"/>
    <w:link w:val="CabealhoChar"/>
    <w:unhideWhenUsed/>
    <w:rsid w:val="00176B69"/>
    <w:pPr>
      <w:tabs>
        <w:tab w:val="center" w:pos="4252"/>
        <w:tab w:val="right" w:pos="8504"/>
      </w:tabs>
      <w:spacing w:after="0" w:line="240" w:lineRule="auto"/>
    </w:pPr>
  </w:style>
  <w:style w:type="character" w:customStyle="1" w:styleId="CabealhoChar">
    <w:name w:val="Cabeçalho Char"/>
    <w:basedOn w:val="Fontepargpadro"/>
    <w:link w:val="Cabealho"/>
    <w:rsid w:val="00176B69"/>
  </w:style>
  <w:style w:type="paragraph" w:styleId="Rodap">
    <w:name w:val="footer"/>
    <w:basedOn w:val="Normal"/>
    <w:link w:val="RodapChar"/>
    <w:uiPriority w:val="99"/>
    <w:unhideWhenUsed/>
    <w:rsid w:val="00176B69"/>
    <w:pPr>
      <w:tabs>
        <w:tab w:val="center" w:pos="4252"/>
        <w:tab w:val="right" w:pos="8504"/>
      </w:tabs>
      <w:spacing w:after="0" w:line="240" w:lineRule="auto"/>
    </w:pPr>
  </w:style>
  <w:style w:type="character" w:customStyle="1" w:styleId="RodapChar">
    <w:name w:val="Rodapé Char"/>
    <w:basedOn w:val="Fontepargpadro"/>
    <w:link w:val="Rodap"/>
    <w:uiPriority w:val="99"/>
    <w:rsid w:val="00176B69"/>
  </w:style>
  <w:style w:type="paragraph" w:styleId="Corpodetexto2">
    <w:name w:val="Body Text 2"/>
    <w:basedOn w:val="Normal"/>
    <w:link w:val="Corpodetexto2Char"/>
    <w:uiPriority w:val="99"/>
    <w:unhideWhenUsed/>
    <w:rsid w:val="006D79EF"/>
    <w:pPr>
      <w:spacing w:after="120" w:line="480" w:lineRule="auto"/>
    </w:pPr>
  </w:style>
  <w:style w:type="character" w:customStyle="1" w:styleId="Corpodetexto2Char">
    <w:name w:val="Corpo de texto 2 Char"/>
    <w:basedOn w:val="Fontepargpadro"/>
    <w:link w:val="Corpodetexto2"/>
    <w:uiPriority w:val="99"/>
    <w:rsid w:val="006D79EF"/>
  </w:style>
  <w:style w:type="table" w:styleId="Tabelacomgrade">
    <w:name w:val="Table Grid"/>
    <w:basedOn w:val="Tabelanormal"/>
    <w:uiPriority w:val="59"/>
    <w:rsid w:val="00D23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2A39BA"/>
    <w:rPr>
      <w:rFonts w:ascii="Arial-BoldMT" w:hAnsi="Arial-BoldMT" w:hint="default"/>
      <w:b/>
      <w:bCs/>
      <w:i w:val="0"/>
      <w:iCs w:val="0"/>
      <w:color w:val="000000"/>
      <w:sz w:val="22"/>
      <w:szCs w:val="22"/>
    </w:rPr>
  </w:style>
  <w:style w:type="character" w:customStyle="1" w:styleId="fontstyle21">
    <w:name w:val="fontstyle21"/>
    <w:basedOn w:val="Fontepargpadro"/>
    <w:rsid w:val="002A39BA"/>
    <w:rPr>
      <w:rFonts w:ascii="ArialMT" w:hAnsi="ArialMT" w:hint="default"/>
      <w:b w:val="0"/>
      <w:bCs w:val="0"/>
      <w:i w:val="0"/>
      <w:iCs w:val="0"/>
      <w:color w:val="000000"/>
      <w:sz w:val="22"/>
      <w:szCs w:val="22"/>
    </w:rPr>
  </w:style>
  <w:style w:type="character" w:styleId="Refdecomentrio">
    <w:name w:val="annotation reference"/>
    <w:basedOn w:val="Fontepargpadro"/>
    <w:uiPriority w:val="99"/>
    <w:semiHidden/>
    <w:unhideWhenUsed/>
    <w:rsid w:val="00517E94"/>
    <w:rPr>
      <w:sz w:val="16"/>
      <w:szCs w:val="16"/>
    </w:rPr>
  </w:style>
  <w:style w:type="paragraph" w:styleId="Textodecomentrio">
    <w:name w:val="annotation text"/>
    <w:basedOn w:val="Normal"/>
    <w:link w:val="TextodecomentrioChar"/>
    <w:uiPriority w:val="99"/>
    <w:semiHidden/>
    <w:unhideWhenUsed/>
    <w:rsid w:val="00517E9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17E94"/>
    <w:rPr>
      <w:sz w:val="20"/>
      <w:szCs w:val="20"/>
    </w:rPr>
  </w:style>
  <w:style w:type="paragraph" w:styleId="Assuntodocomentrio">
    <w:name w:val="annotation subject"/>
    <w:basedOn w:val="Textodecomentrio"/>
    <w:next w:val="Textodecomentrio"/>
    <w:link w:val="AssuntodocomentrioChar"/>
    <w:uiPriority w:val="99"/>
    <w:semiHidden/>
    <w:unhideWhenUsed/>
    <w:rsid w:val="00517E94"/>
    <w:rPr>
      <w:b/>
      <w:bCs/>
    </w:rPr>
  </w:style>
  <w:style w:type="character" w:customStyle="1" w:styleId="AssuntodocomentrioChar">
    <w:name w:val="Assunto do comentário Char"/>
    <w:basedOn w:val="TextodecomentrioChar"/>
    <w:link w:val="Assuntodocomentrio"/>
    <w:uiPriority w:val="99"/>
    <w:semiHidden/>
    <w:rsid w:val="00517E94"/>
    <w:rPr>
      <w:b/>
      <w:bCs/>
      <w:sz w:val="20"/>
      <w:szCs w:val="20"/>
    </w:rPr>
  </w:style>
  <w:style w:type="paragraph" w:styleId="Reviso">
    <w:name w:val="Revision"/>
    <w:hidden/>
    <w:uiPriority w:val="99"/>
    <w:semiHidden/>
    <w:rsid w:val="00517E94"/>
    <w:pPr>
      <w:spacing w:after="0" w:line="240" w:lineRule="auto"/>
    </w:pPr>
  </w:style>
  <w:style w:type="numbering" w:customStyle="1" w:styleId="Semlista1">
    <w:name w:val="Sem lista1"/>
    <w:next w:val="Semlista"/>
    <w:uiPriority w:val="99"/>
    <w:semiHidden/>
    <w:unhideWhenUsed/>
    <w:rsid w:val="00C06696"/>
  </w:style>
  <w:style w:type="paragraph" w:customStyle="1" w:styleId="TextBase">
    <w:name w:val="Text Base"/>
    <w:basedOn w:val="Normal"/>
    <w:link w:val="TextBaseChar"/>
    <w:qFormat/>
    <w:rsid w:val="00C06696"/>
    <w:pPr>
      <w:spacing w:after="240" w:line="240" w:lineRule="auto"/>
      <w:jc w:val="both"/>
    </w:pPr>
    <w:rPr>
      <w:rFonts w:ascii="Times New Roman" w:eastAsia="MS Mincho" w:hAnsi="Times New Roman" w:cs="Times New Roman"/>
      <w:sz w:val="24"/>
      <w:lang w:val="x-none" w:eastAsia="en-US"/>
    </w:rPr>
  </w:style>
  <w:style w:type="character" w:customStyle="1" w:styleId="TextBaseChar">
    <w:name w:val="Text Base Char"/>
    <w:link w:val="TextBase"/>
    <w:rsid w:val="00C06696"/>
    <w:rPr>
      <w:rFonts w:ascii="Times New Roman" w:eastAsia="MS Mincho" w:hAnsi="Times New Roman" w:cs="Times New Roman"/>
      <w:sz w:val="24"/>
      <w:lang w:val="x-none" w:eastAsia="en-US"/>
    </w:rPr>
  </w:style>
  <w:style w:type="character" w:customStyle="1" w:styleId="apple-converted-space">
    <w:name w:val="apple-converted-space"/>
    <w:rsid w:val="00C06696"/>
  </w:style>
  <w:style w:type="character" w:styleId="Forte">
    <w:name w:val="Strong"/>
    <w:uiPriority w:val="22"/>
    <w:qFormat/>
    <w:rsid w:val="00C06696"/>
    <w:rPr>
      <w:b/>
      <w:bCs/>
    </w:rPr>
  </w:style>
  <w:style w:type="character" w:styleId="Hyperlink">
    <w:name w:val="Hyperlink"/>
    <w:uiPriority w:val="99"/>
    <w:unhideWhenUsed/>
    <w:rsid w:val="00C06696"/>
  </w:style>
  <w:style w:type="paragraph" w:styleId="Sumrio1">
    <w:name w:val="toc 1"/>
    <w:basedOn w:val="Normal"/>
    <w:next w:val="Normal"/>
    <w:autoRedefine/>
    <w:uiPriority w:val="39"/>
    <w:unhideWhenUsed/>
    <w:rsid w:val="00C06696"/>
    <w:pPr>
      <w:tabs>
        <w:tab w:val="right" w:leader="dot" w:pos="9486"/>
      </w:tabs>
      <w:spacing w:after="120" w:line="240" w:lineRule="auto"/>
      <w:ind w:left="397" w:hanging="397"/>
    </w:pPr>
    <w:rPr>
      <w:rFonts w:ascii="Times New Roman" w:eastAsia="MS Mincho" w:hAnsi="Times New Roman" w:cs="Times New Roman"/>
      <w:b/>
      <w:noProof/>
      <w:sz w:val="24"/>
      <w:szCs w:val="24"/>
      <w:lang w:eastAsia="en-US"/>
    </w:rPr>
  </w:style>
  <w:style w:type="paragraph" w:styleId="Sumrio2">
    <w:name w:val="toc 2"/>
    <w:basedOn w:val="Normal"/>
    <w:next w:val="Normal"/>
    <w:autoRedefine/>
    <w:uiPriority w:val="39"/>
    <w:unhideWhenUsed/>
    <w:rsid w:val="00C06696"/>
    <w:pPr>
      <w:tabs>
        <w:tab w:val="right" w:leader="dot" w:pos="9486"/>
      </w:tabs>
      <w:spacing w:after="0" w:line="240" w:lineRule="auto"/>
      <w:ind w:left="681" w:hanging="397"/>
    </w:pPr>
    <w:rPr>
      <w:rFonts w:ascii="Calibri" w:eastAsia="MS Mincho" w:hAnsi="Calibri" w:cs="Times New Roman"/>
      <w:lang w:eastAsia="en-US"/>
    </w:rPr>
  </w:style>
  <w:style w:type="table" w:customStyle="1" w:styleId="Tabelacomgrade1">
    <w:name w:val="Tabela com grade1"/>
    <w:basedOn w:val="Tabelanormal"/>
    <w:next w:val="Tabelacomgrade"/>
    <w:uiPriority w:val="39"/>
    <w:rsid w:val="00C06696"/>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HM">
    <w:name w:val="Titulo 1HM"/>
    <w:basedOn w:val="Ttulo1"/>
    <w:next w:val="Normal"/>
    <w:link w:val="Titulo1HMChar"/>
    <w:qFormat/>
    <w:rsid w:val="00C06696"/>
    <w:pPr>
      <w:numPr>
        <w:numId w:val="0"/>
      </w:numPr>
      <w:spacing w:before="0" w:after="360"/>
    </w:pPr>
    <w:rPr>
      <w:rFonts w:ascii="Times New Roman" w:eastAsia="Times New Roman" w:hAnsi="Times New Roman" w:cs="Times New Roman"/>
      <w:sz w:val="24"/>
      <w:szCs w:val="24"/>
    </w:rPr>
  </w:style>
  <w:style w:type="character" w:customStyle="1" w:styleId="Titulo1HMChar">
    <w:name w:val="Titulo 1HM Char"/>
    <w:basedOn w:val="Ttulo1Char"/>
    <w:link w:val="Titulo1HM"/>
    <w:rsid w:val="00C06696"/>
    <w:rPr>
      <w:rFonts w:ascii="Times New Roman" w:eastAsia="Times New Roman" w:hAnsi="Times New Roman" w:cs="Times New Roman"/>
      <w:b/>
      <w:bCs/>
      <w:kern w:val="32"/>
      <w:sz w:val="24"/>
      <w:szCs w:val="24"/>
      <w:lang w:val="en-US" w:eastAsia="en-US"/>
    </w:rPr>
  </w:style>
  <w:style w:type="paragraph" w:styleId="Legenda">
    <w:name w:val="caption"/>
    <w:basedOn w:val="Normal"/>
    <w:next w:val="Normal"/>
    <w:autoRedefine/>
    <w:uiPriority w:val="35"/>
    <w:unhideWhenUsed/>
    <w:qFormat/>
    <w:rsid w:val="00C06696"/>
    <w:pPr>
      <w:keepNext/>
      <w:spacing w:after="0" w:line="360" w:lineRule="auto"/>
      <w:jc w:val="center"/>
    </w:pPr>
    <w:rPr>
      <w:rFonts w:ascii="Calibri" w:eastAsia="Calibri" w:hAnsi="Calibri" w:cs="Times New Roman"/>
      <w:b/>
      <w:bCs/>
      <w:sz w:val="24"/>
      <w:szCs w:val="24"/>
      <w:lang w:eastAsia="en-US"/>
    </w:rPr>
  </w:style>
  <w:style w:type="paragraph" w:customStyle="1" w:styleId="Tabelas">
    <w:name w:val="Tabelas"/>
    <w:aliases w:val="Mapas e outros"/>
    <w:basedOn w:val="Normal"/>
    <w:autoRedefine/>
    <w:qFormat/>
    <w:rsid w:val="00C06696"/>
    <w:pPr>
      <w:spacing w:before="60" w:after="0" w:line="360" w:lineRule="auto"/>
    </w:pPr>
    <w:rPr>
      <w:rFonts w:ascii="Arial" w:eastAsia="Times New Roman" w:hAnsi="Arial" w:cs="Arial"/>
      <w:sz w:val="20"/>
      <w:szCs w:val="20"/>
    </w:rPr>
  </w:style>
  <w:style w:type="paragraph" w:customStyle="1" w:styleId="Default">
    <w:name w:val="Default"/>
    <w:rsid w:val="00C06696"/>
    <w:pPr>
      <w:widowControl w:val="0"/>
      <w:autoSpaceDE w:val="0"/>
      <w:autoSpaceDN w:val="0"/>
      <w:adjustRightInd w:val="0"/>
      <w:spacing w:after="0" w:line="240" w:lineRule="auto"/>
    </w:pPr>
    <w:rPr>
      <w:rFonts w:ascii="Arial" w:eastAsia="Times New Roman" w:hAnsi="Arial" w:cs="Arial"/>
      <w:color w:val="000000"/>
      <w:sz w:val="24"/>
      <w:szCs w:val="24"/>
      <w:lang w:eastAsia="ja-JP"/>
    </w:rPr>
  </w:style>
  <w:style w:type="paragraph" w:customStyle="1" w:styleId="textbase0">
    <w:name w:val="textbase"/>
    <w:basedOn w:val="Normal"/>
    <w:rsid w:val="00C066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C06696"/>
    <w:pPr>
      <w:widowControl/>
      <w:spacing w:line="240" w:lineRule="atLeast"/>
    </w:pPr>
    <w:rPr>
      <w:rFonts w:ascii="Myriad Pro" w:eastAsia="Calibri" w:hAnsi="Myriad Pro"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2.sabesp.com.br/mananciais" TargetMode="External"/><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2.emf"/><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hyperlink" Target="http://www2.sabesp.com.br/mananciais/dadoscantareira/DadosRepresa.aspx" TargetMode="External"/><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sspcj.org.br/" TargetMode="External"/><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_rels/header5.xml.rels><?xml version="1.0" encoding="UTF-8" standalone="yes"?>
<Relationships xmlns="http://schemas.openxmlformats.org/package/2006/relationships"><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C0AF1-AC64-411C-AE55-F0A14D46D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4979</Words>
  <Characters>26887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martae</dc:creator>
  <cp:lastModifiedBy>Ana Sedlacek</cp:lastModifiedBy>
  <cp:revision>13</cp:revision>
  <cp:lastPrinted>2016-02-01T15:59:00Z</cp:lastPrinted>
  <dcterms:created xsi:type="dcterms:W3CDTF">2018-08-16T13:25:00Z</dcterms:created>
  <dcterms:modified xsi:type="dcterms:W3CDTF">2018-08-20T20:54:00Z</dcterms:modified>
</cp:coreProperties>
</file>