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7B07" w14:textId="77777777" w:rsidR="006B7C20" w:rsidRDefault="006B7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BCBAD23" w14:textId="77777777" w:rsidR="006B7C20" w:rsidRDefault="006B7C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BDD948" w14:textId="77777777" w:rsidR="006B7C20" w:rsidRDefault="009017C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C8F4304" wp14:editId="1F0AF54E">
            <wp:extent cx="2666157" cy="683343"/>
            <wp:effectExtent l="0" t="0" r="0" b="0"/>
            <wp:docPr id="11" name="Imagem 11" descr="Text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exto&#10;&#10;Descrição gerada automaticamente com confiança baix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6157" cy="683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45502A" w14:textId="77777777" w:rsidR="006B7C20" w:rsidRDefault="006B7C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106CA" w14:textId="77777777" w:rsidR="006B7C20" w:rsidRDefault="006B7C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E61AE" w14:textId="77777777" w:rsidR="006B7C20" w:rsidRDefault="006B7C20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BC61D89" w14:textId="77777777" w:rsidR="006B7C20" w:rsidRDefault="006B7C2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A67FBFF" w14:textId="77777777" w:rsidR="006B7C20" w:rsidRDefault="006B7C2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23B1657" w14:textId="77777777" w:rsidR="006B7C20" w:rsidRDefault="006B7C20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3FD4E3FE" w14:textId="77777777" w:rsidR="006B7C20" w:rsidRDefault="009017C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PLANO DE TRABALHO</w:t>
      </w:r>
    </w:p>
    <w:p w14:paraId="653B5FB0" w14:textId="2DBB3E9C" w:rsidR="006B7C20" w:rsidRDefault="009017CB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Exercício 202</w:t>
      </w:r>
      <w:r w:rsidR="00973E08">
        <w:rPr>
          <w:rFonts w:ascii="Times New Roman" w:eastAsia="Times New Roman" w:hAnsi="Times New Roman" w:cs="Times New Roman"/>
          <w:b/>
          <w:sz w:val="52"/>
          <w:szCs w:val="52"/>
        </w:rPr>
        <w:t>4</w:t>
      </w:r>
    </w:p>
    <w:p w14:paraId="31D2C9AA" w14:textId="77777777" w:rsidR="006B7C20" w:rsidRDefault="006B7C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F59B8" w14:textId="77777777" w:rsidR="006B7C20" w:rsidRDefault="006B7C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1D550" w14:textId="77777777" w:rsidR="006B7C20" w:rsidRDefault="006B7C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114671" w14:textId="77777777" w:rsidR="006B7C20" w:rsidRDefault="006B7C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C81180" w14:textId="77777777" w:rsidR="006B7C20" w:rsidRDefault="006B7C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2418E0" w14:textId="364A1227" w:rsidR="006B7C20" w:rsidRDefault="006B7C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DB0DB5" w14:textId="77777777" w:rsidR="006B7C20" w:rsidRDefault="006B7C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9CBC5" w14:textId="77777777" w:rsidR="006B7C20" w:rsidRDefault="006B7C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FB1783" w14:textId="77777777" w:rsidR="006B7C20" w:rsidRDefault="009017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Fundação Agência da Bacia Hidrográfica do Rio Sorocaba e Médio Tietê</w:t>
      </w:r>
    </w:p>
    <w:p w14:paraId="0245163D" w14:textId="2CD5153C" w:rsidR="12EC230B" w:rsidRDefault="12EC230B" w:rsidP="12EC230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C1D95A" w14:textId="43D388C9" w:rsidR="006B7C20" w:rsidRDefault="00973E08" w:rsidP="158BD5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B7C20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701" w:right="1134" w:bottom="1701" w:left="1134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Novemb</w:t>
      </w:r>
      <w:r w:rsidR="633BF9E6" w:rsidRPr="44CB7F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ro </w:t>
      </w:r>
      <w:r w:rsidR="009017CB" w:rsidRPr="44CB7F2F">
        <w:rPr>
          <w:rFonts w:ascii="Times New Roman" w:eastAsia="Times New Roman" w:hAnsi="Times New Roman" w:cs="Times New Roman"/>
          <w:b/>
          <w:bCs/>
          <w:sz w:val="28"/>
          <w:szCs w:val="28"/>
        </w:rPr>
        <w:t>de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14:paraId="32C693A8" w14:textId="31F1F577" w:rsidR="006B7C20" w:rsidRDefault="00901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APRESENTAÇÃO</w:t>
      </w:r>
    </w:p>
    <w:p w14:paraId="071B6FE6" w14:textId="77777777" w:rsidR="006B7C20" w:rsidRDefault="006B7C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07231" w14:textId="3C37CAB4" w:rsidR="006B7C20" w:rsidRDefault="009017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Plano de Trabalho da Fundação Agência da Bacia Hidrográfica do Rio Sorocaba e Médio Tietê (FABH-SMT) para o exercício 202</w:t>
      </w:r>
      <w:r w:rsidR="00973E0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traz um levantamento da previsão das demandas de atividades planejadas pelas diretorias técnica e administrativa e financeira da FABH-SMT, identificadas em conjunto com a Secretaria Executiva do Comitê da Bacia Hidrográfica do Rio Sorocaba e Médio Tietê (CBH-SMT).</w:t>
      </w:r>
    </w:p>
    <w:p w14:paraId="20499F04" w14:textId="77777777" w:rsidR="006B7C20" w:rsidRDefault="009017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das bases do Plano de Trabalho, será realizado o detalhamento das ações, visando nortear a equipe da FABH-SMT nas tarefas cotidianas necessárias à implementação dos projetos demandados pelo CBH-SMT.</w:t>
      </w:r>
    </w:p>
    <w:p w14:paraId="43660E6E" w14:textId="77777777" w:rsidR="006B7C20" w:rsidRDefault="009017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Outras ações poderão ser incorporadas ao longo do exercício, caso haja percepção de novos desafios e oportunidades em que a FABH-SMT deva se inserir.</w:t>
      </w:r>
    </w:p>
    <w:p w14:paraId="3D4471B8" w14:textId="77777777" w:rsidR="006B7C20" w:rsidRDefault="006B7C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CB7EEE" w14:textId="77777777" w:rsidR="006B7C20" w:rsidRDefault="006B7C2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13731" w14:textId="77777777" w:rsidR="006B7C20" w:rsidRDefault="006B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3F3E9F" w14:textId="77777777" w:rsidR="006B7C20" w:rsidRDefault="00901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OBJETIVOS</w:t>
      </w:r>
    </w:p>
    <w:p w14:paraId="50524249" w14:textId="77777777" w:rsidR="006B7C20" w:rsidRDefault="006B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C5D357" w14:textId="54A79E6F" w:rsidR="006B7C20" w:rsidRDefault="009017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B40B82">
        <w:rPr>
          <w:rFonts w:ascii="Times New Roman" w:eastAsia="Times New Roman" w:hAnsi="Times New Roman" w:cs="Times New Roman"/>
          <w:sz w:val="24"/>
          <w:szCs w:val="24"/>
        </w:rPr>
        <w:t>O levantamento das atividades a serem desenvolvidas tem o objetivo de orientar os trabalhos da FABH-SMT durante o ano de 202</w:t>
      </w:r>
      <w:r w:rsidR="00973E08" w:rsidRPr="6EB40B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6EB40B82">
        <w:rPr>
          <w:rFonts w:ascii="Times New Roman" w:eastAsia="Times New Roman" w:hAnsi="Times New Roman" w:cs="Times New Roman"/>
          <w:sz w:val="24"/>
          <w:szCs w:val="24"/>
        </w:rPr>
        <w:t>, além de oferecer transparência das ações para acompanhamento do Conselho Deliberativo da FABH-SMT e da Coordenadoria de Recursos Hídricos (</w:t>
      </w:r>
      <w:proofErr w:type="spellStart"/>
      <w:r w:rsidRPr="6EB40B82">
        <w:rPr>
          <w:rFonts w:ascii="Times New Roman" w:eastAsia="Times New Roman" w:hAnsi="Times New Roman" w:cs="Times New Roman"/>
          <w:sz w:val="24"/>
          <w:szCs w:val="24"/>
        </w:rPr>
        <w:t>CRHi</w:t>
      </w:r>
      <w:proofErr w:type="spellEnd"/>
      <w:r w:rsidRPr="6EB40B82">
        <w:rPr>
          <w:rFonts w:ascii="Times New Roman" w:eastAsia="Times New Roman" w:hAnsi="Times New Roman" w:cs="Times New Roman"/>
          <w:sz w:val="24"/>
          <w:szCs w:val="24"/>
        </w:rPr>
        <w:t>) da Secretaria de Meio Ambiente</w:t>
      </w:r>
      <w:r w:rsidR="608790D5" w:rsidRPr="6EB40B82">
        <w:rPr>
          <w:rFonts w:ascii="Times New Roman" w:eastAsia="Times New Roman" w:hAnsi="Times New Roman" w:cs="Times New Roman"/>
          <w:sz w:val="24"/>
          <w:szCs w:val="24"/>
        </w:rPr>
        <w:t>, Infraestrutura e Logística</w:t>
      </w:r>
      <w:r w:rsidRPr="6EB40B82">
        <w:rPr>
          <w:rFonts w:ascii="Times New Roman" w:eastAsia="Times New Roman" w:hAnsi="Times New Roman" w:cs="Times New Roman"/>
          <w:sz w:val="24"/>
          <w:szCs w:val="24"/>
        </w:rPr>
        <w:t xml:space="preserve"> do Estado de São Paulo (S</w:t>
      </w:r>
      <w:r w:rsidR="1BDB1173" w:rsidRPr="6EB40B82">
        <w:rPr>
          <w:rFonts w:ascii="Times New Roman" w:eastAsia="Times New Roman" w:hAnsi="Times New Roman" w:cs="Times New Roman"/>
          <w:sz w:val="24"/>
          <w:szCs w:val="24"/>
        </w:rPr>
        <w:t>EMIL</w:t>
      </w:r>
      <w:r w:rsidRPr="6EB40B82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649B53B" w14:textId="77777777" w:rsidR="006B7C20" w:rsidRDefault="009017C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disso, visa ainda aprimorar o desempenho da FABH-SMT com o executora das ações a serem implantadas na bacia hidrográfica do Rio Sorocaba e Médio Tietê, buscando atender o previsto no Plano da Bacia do SMT 2016-2027.</w:t>
      </w:r>
    </w:p>
    <w:p w14:paraId="54BA5F64" w14:textId="77777777" w:rsidR="006B7C20" w:rsidRDefault="006B7C20">
      <w:pPr>
        <w:tabs>
          <w:tab w:val="left" w:pos="155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EA59B2" w14:textId="77777777" w:rsidR="006B7C20" w:rsidRDefault="009017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ATIVIDADES PLANEJADAS</w:t>
      </w:r>
    </w:p>
    <w:p w14:paraId="157FB764" w14:textId="77777777" w:rsidR="006B7C20" w:rsidRDefault="006B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AB33DE" w14:textId="7DD67F81" w:rsidR="006B7C20" w:rsidRDefault="00901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Diretoria </w:t>
      </w:r>
      <w:r w:rsidR="00F310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Técnica</w:t>
      </w:r>
    </w:p>
    <w:p w14:paraId="45F1C2DC" w14:textId="77777777" w:rsidR="006B7C20" w:rsidRDefault="006B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6CD4B62" w14:textId="77777777" w:rsidR="006B7C20" w:rsidRDefault="00901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Novas atividades</w:t>
      </w:r>
    </w:p>
    <w:tbl>
      <w:tblPr>
        <w:tblW w:w="10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"/>
        <w:gridCol w:w="5769"/>
        <w:gridCol w:w="4092"/>
      </w:tblGrid>
      <w:tr w:rsidR="00E141F0" w:rsidRPr="00E141F0" w14:paraId="6498FDFF" w14:textId="77777777" w:rsidTr="47794C15">
        <w:tc>
          <w:tcPr>
            <w:tcW w:w="336" w:type="dxa"/>
          </w:tcPr>
          <w:p w14:paraId="4C10EE87" w14:textId="77777777" w:rsidR="006B7C20" w:rsidRPr="00E141F0" w:rsidRDefault="006B7C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14:paraId="409B7D65" w14:textId="77777777" w:rsidR="006B7C20" w:rsidRPr="00E141F0" w:rsidRDefault="0090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da Ação</w:t>
            </w:r>
          </w:p>
        </w:tc>
        <w:tc>
          <w:tcPr>
            <w:tcW w:w="4092" w:type="dxa"/>
          </w:tcPr>
          <w:p w14:paraId="2826690E" w14:textId="77777777" w:rsidR="006B7C20" w:rsidRPr="00E141F0" w:rsidRDefault="0090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</w:t>
            </w:r>
          </w:p>
        </w:tc>
      </w:tr>
      <w:tr w:rsidR="00F7414D" w:rsidRPr="00F7414D" w14:paraId="7559496D" w14:textId="77777777" w:rsidTr="47794C15">
        <w:tc>
          <w:tcPr>
            <w:tcW w:w="336" w:type="dxa"/>
            <w:vAlign w:val="center"/>
          </w:tcPr>
          <w:p w14:paraId="0288B9CA" w14:textId="68C4974B" w:rsidR="006B7C20" w:rsidRPr="00F7414D" w:rsidRDefault="004A5687" w:rsidP="00F3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9" w:type="dxa"/>
            <w:vAlign w:val="center"/>
          </w:tcPr>
          <w:p w14:paraId="524C38F2" w14:textId="77777777" w:rsidR="006B7C20" w:rsidRPr="00F7414D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4D">
              <w:rPr>
                <w:rFonts w:ascii="Times New Roman" w:eastAsia="Times New Roman" w:hAnsi="Times New Roman" w:cs="Times New Roman"/>
                <w:sz w:val="24"/>
                <w:szCs w:val="24"/>
              </w:rPr>
              <w:t>Realização de estudo visando a definição de diretrizes técnicas e estratégias institucionais para subsidiar a integração do planejamento das Unidades de Gerenciamento de Recursos Hídricos (UGRHIs) da Bacia do Rio Tietê.</w:t>
            </w:r>
          </w:p>
        </w:tc>
        <w:tc>
          <w:tcPr>
            <w:tcW w:w="4092" w:type="dxa"/>
          </w:tcPr>
          <w:p w14:paraId="7EAA0A91" w14:textId="77777777" w:rsidR="006B7C20" w:rsidRPr="00F7414D" w:rsidRDefault="009017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4D">
              <w:rPr>
                <w:rFonts w:ascii="Times New Roman" w:eastAsia="Times New Roman" w:hAnsi="Times New Roman" w:cs="Times New Roman"/>
                <w:sz w:val="24"/>
                <w:szCs w:val="24"/>
              </w:rPr>
              <w:t>Trata-se de item presente no Plano de Ações Coletivas e Solidárias dos Comitês de Bacias Hidrográficas da Bacia do Rio Tietê e no PA/PI 2020-2023 do CBH-SMT</w:t>
            </w:r>
            <w:r w:rsidR="002B404F" w:rsidRPr="00F741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58B352" w14:textId="77777777" w:rsidR="001F57B8" w:rsidRDefault="002B404F" w:rsidP="00CC45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empreendimento foi </w:t>
            </w:r>
            <w:r w:rsidR="00967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aprovado pelos agentes técnico e </w:t>
            </w:r>
            <w:r w:rsidRPr="00F7414D">
              <w:rPr>
                <w:rFonts w:ascii="Times New Roman" w:eastAsia="Times New Roman" w:hAnsi="Times New Roman" w:cs="Times New Roman"/>
                <w:sz w:val="24"/>
                <w:szCs w:val="24"/>
              </w:rPr>
              <w:t>financeiro do FEHIDRO em 202</w:t>
            </w:r>
            <w:r w:rsidR="009676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74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aguarda </w:t>
            </w:r>
            <w:r w:rsidR="0096767A"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da SECOFEHIDRO</w:t>
            </w:r>
            <w:r w:rsidR="008A097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74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r w:rsidR="008A0979">
              <w:rPr>
                <w:rFonts w:ascii="Times New Roman" w:eastAsia="Times New Roman" w:hAnsi="Times New Roman" w:cs="Times New Roman"/>
                <w:sz w:val="24"/>
                <w:szCs w:val="24"/>
              </w:rPr>
              <w:t>licitação</w:t>
            </w:r>
            <w:r w:rsidR="001F57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318F75" w14:textId="11F5ACC3" w:rsidR="0096767A" w:rsidRPr="00F7414D" w:rsidRDefault="001F57B8" w:rsidP="00CC45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Empreendimento</w:t>
            </w:r>
            <w:r w:rsidR="00CC4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67A">
              <w:rPr>
                <w:rFonts w:ascii="Times New Roman" w:eastAsia="Times New Roman" w:hAnsi="Times New Roman" w:cs="Times New Roman"/>
                <w:sz w:val="24"/>
                <w:szCs w:val="24"/>
              </w:rPr>
              <w:t>2022-SMT_COB-344</w:t>
            </w:r>
            <w:r w:rsidR="00CB5A3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C4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Contrato 091/2023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orçado em R$249,010,40.</w:t>
            </w:r>
          </w:p>
        </w:tc>
      </w:tr>
      <w:tr w:rsidR="00157458" w:rsidRPr="00157458" w14:paraId="1785AE37" w14:textId="77777777" w:rsidTr="47794C15">
        <w:tc>
          <w:tcPr>
            <w:tcW w:w="336" w:type="dxa"/>
            <w:vAlign w:val="center"/>
          </w:tcPr>
          <w:p w14:paraId="4F351805" w14:textId="1999536B" w:rsidR="00B238FF" w:rsidRPr="00157458" w:rsidRDefault="004A5687" w:rsidP="00F3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9" w:type="dxa"/>
            <w:vAlign w:val="center"/>
          </w:tcPr>
          <w:p w14:paraId="42E768A9" w14:textId="34F65C5F" w:rsidR="00B238FF" w:rsidRPr="00157458" w:rsidRDefault="00B238FF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458">
              <w:rPr>
                <w:rFonts w:ascii="Times New Roman" w:eastAsia="Times New Roman" w:hAnsi="Times New Roman" w:cs="Times New Roman"/>
                <w:sz w:val="24"/>
                <w:szCs w:val="24"/>
              </w:rPr>
              <w:t>Execução do empreendimento “Contratação de empresa para o desenvolvimento e criação de ações de comunicação para o CBH-SMT”. Esta ação demandará atendimento às demandas levantadas pelo agente técnico do FEHIDRO e, aprovado, deve passar por processo licitatório.</w:t>
            </w:r>
          </w:p>
        </w:tc>
        <w:tc>
          <w:tcPr>
            <w:tcW w:w="4092" w:type="dxa"/>
          </w:tcPr>
          <w:p w14:paraId="55C4F491" w14:textId="77777777" w:rsidR="009C3BB1" w:rsidRPr="00157458" w:rsidRDefault="00B238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Ação consta no PA/PI CBH-SMT 2020-2023 para atendimento das demandas do CBH-SMT. </w:t>
            </w:r>
          </w:p>
          <w:p w14:paraId="7FE74F84" w14:textId="77777777" w:rsidR="009C3BB1" w:rsidRPr="00157458" w:rsidRDefault="009C3BB1" w:rsidP="009C3B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458">
              <w:rPr>
                <w:rFonts w:ascii="Times New Roman" w:eastAsia="Times New Roman" w:hAnsi="Times New Roman" w:cs="Times New Roman"/>
                <w:sz w:val="24"/>
                <w:szCs w:val="24"/>
              </w:rPr>
              <w:t>O empreendimento foi aprovado pelos agentes técnico e financeiro do FEHIDRO em 2023 e aguarda assinatura da SECOFEHIDRO, para licitação.</w:t>
            </w:r>
          </w:p>
          <w:p w14:paraId="42A6E400" w14:textId="071F5704" w:rsidR="00B238FF" w:rsidRPr="00157458" w:rsidRDefault="00B238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458">
              <w:rPr>
                <w:rFonts w:ascii="Times New Roman" w:eastAsia="Times New Roman" w:hAnsi="Times New Roman" w:cs="Times New Roman"/>
                <w:sz w:val="24"/>
                <w:szCs w:val="24"/>
              </w:rPr>
              <w:t>Empreendimento 2022-SMT-751</w:t>
            </w:r>
            <w:r w:rsidR="00CB5A33" w:rsidRPr="00157458">
              <w:rPr>
                <w:rFonts w:ascii="Times New Roman" w:eastAsia="Times New Roman" w:hAnsi="Times New Roman" w:cs="Times New Roman"/>
                <w:sz w:val="24"/>
                <w:szCs w:val="24"/>
              </w:rPr>
              <w:t>, Contrato 097/2023</w:t>
            </w:r>
            <w:r w:rsidRPr="0015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orçado em R$ 171.229,05.</w:t>
            </w:r>
            <w:r w:rsidR="004F4A3D" w:rsidRPr="0015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5687" w:rsidRPr="00157458" w14:paraId="10DE8ACA" w14:textId="77777777" w:rsidTr="47794C15">
        <w:tc>
          <w:tcPr>
            <w:tcW w:w="336" w:type="dxa"/>
            <w:vAlign w:val="center"/>
          </w:tcPr>
          <w:p w14:paraId="14D5D1A7" w14:textId="447F20DA" w:rsidR="004A5687" w:rsidRDefault="004A5687" w:rsidP="00F3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9" w:type="dxa"/>
            <w:vAlign w:val="center"/>
          </w:tcPr>
          <w:p w14:paraId="69D8AAAA" w14:textId="74D1B21E" w:rsidR="004A5687" w:rsidRPr="00157458" w:rsidRDefault="004A5687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Continuidade do empreendimento “Serviços especializados para apoio às atividades de gestão e fiscalização dos usos e interferências em recursos hídricos na bacia do rio Sorocaba e Médio Tietê”. Esta ação demandará atendimento às demandas levantadas pelo </w:t>
            </w:r>
            <w:r w:rsidRPr="00284F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agente técnico do FEHIDRO e, aprovado, deve passar por processo licitatório.</w:t>
            </w:r>
          </w:p>
        </w:tc>
        <w:tc>
          <w:tcPr>
            <w:tcW w:w="4092" w:type="dxa"/>
          </w:tcPr>
          <w:p w14:paraId="222412BE" w14:textId="77777777" w:rsidR="004A5687" w:rsidRDefault="004A5687" w:rsidP="004A56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Ação consta no PA/PI CBH-SMT 2020-2023 para atendimento das demandas do CBH-SMT. </w:t>
            </w:r>
          </w:p>
          <w:p w14:paraId="5CEFCBA1" w14:textId="77777777" w:rsidR="004A5687" w:rsidRPr="00157458" w:rsidRDefault="004A5687" w:rsidP="004A56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empreendimento foi aprovado pelos agentes técnico e financeiro do </w:t>
            </w:r>
            <w:r w:rsidRPr="001574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FEHIDRO em 2023 e aguarda assinatura da SECOFEHIDRO, para licitação.</w:t>
            </w:r>
          </w:p>
          <w:p w14:paraId="38182209" w14:textId="7663B9B3" w:rsidR="004A5687" w:rsidRPr="00157458" w:rsidRDefault="004A5687" w:rsidP="004A568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458">
              <w:rPr>
                <w:rFonts w:ascii="Times New Roman" w:eastAsia="Times New Roman" w:hAnsi="Times New Roman" w:cs="Times New Roman"/>
                <w:sz w:val="24"/>
                <w:szCs w:val="24"/>
              </w:rPr>
              <w:t>Empreendimento 2022-SMT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_COB-346</w:t>
            </w:r>
            <w:r w:rsidRPr="00157458">
              <w:rPr>
                <w:rFonts w:ascii="Times New Roman" w:eastAsia="Times New Roman" w:hAnsi="Times New Roman" w:cs="Times New Roman"/>
                <w:sz w:val="24"/>
                <w:szCs w:val="24"/>
              </w:rPr>
              <w:t>, Contrato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57458">
              <w:rPr>
                <w:rFonts w:ascii="Times New Roman" w:eastAsia="Times New Roman" w:hAnsi="Times New Roman" w:cs="Times New Roman"/>
                <w:sz w:val="24"/>
                <w:szCs w:val="24"/>
              </w:rPr>
              <w:t>/2023 orçado em R$ 1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.782.257,76</w:t>
            </w:r>
            <w:r w:rsidRPr="00284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 duração prevista de 24 meses.</w:t>
            </w:r>
          </w:p>
        </w:tc>
      </w:tr>
    </w:tbl>
    <w:p w14:paraId="4AD1AE48" w14:textId="77777777" w:rsidR="006B7C20" w:rsidRPr="00973E08" w:rsidRDefault="006B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917DE6A" w14:textId="77777777" w:rsidR="006B7C20" w:rsidRPr="00973E08" w:rsidRDefault="006B7C2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3BC75AD" w14:textId="77777777" w:rsidR="006B7C20" w:rsidRPr="00157458" w:rsidRDefault="00901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458">
        <w:rPr>
          <w:rFonts w:ascii="Times New Roman" w:eastAsia="Times New Roman" w:hAnsi="Times New Roman" w:cs="Times New Roman"/>
          <w:b/>
          <w:sz w:val="24"/>
          <w:szCs w:val="24"/>
        </w:rPr>
        <w:t>Atividades em andamento</w:t>
      </w:r>
    </w:p>
    <w:tbl>
      <w:tblPr>
        <w:tblW w:w="101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062"/>
        <w:gridCol w:w="5565"/>
      </w:tblGrid>
      <w:tr w:rsidR="00115608" w:rsidRPr="00115608" w14:paraId="11D03528" w14:textId="77777777" w:rsidTr="44CB7F2F">
        <w:tc>
          <w:tcPr>
            <w:tcW w:w="570" w:type="dxa"/>
          </w:tcPr>
          <w:p w14:paraId="69B7318B" w14:textId="77777777" w:rsidR="006B7C20" w:rsidRPr="00115608" w:rsidRDefault="006B7C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</w:tcPr>
          <w:p w14:paraId="33F483BA" w14:textId="77777777" w:rsidR="006B7C20" w:rsidRPr="00115608" w:rsidRDefault="0090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da Ação</w:t>
            </w:r>
          </w:p>
        </w:tc>
        <w:tc>
          <w:tcPr>
            <w:tcW w:w="5565" w:type="dxa"/>
          </w:tcPr>
          <w:p w14:paraId="466E556E" w14:textId="77777777" w:rsidR="006B7C20" w:rsidRPr="00115608" w:rsidRDefault="0090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</w:t>
            </w:r>
          </w:p>
        </w:tc>
      </w:tr>
      <w:tr w:rsidR="00115608" w:rsidRPr="00115608" w14:paraId="57ADE4E3" w14:textId="77777777" w:rsidTr="44CB7F2F">
        <w:tc>
          <w:tcPr>
            <w:tcW w:w="570" w:type="dxa"/>
            <w:vAlign w:val="center"/>
          </w:tcPr>
          <w:p w14:paraId="7B93EAFD" w14:textId="77777777" w:rsidR="006B7C20" w:rsidRPr="00115608" w:rsidRDefault="009017CB" w:rsidP="00F3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5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2" w:type="dxa"/>
            <w:vAlign w:val="center"/>
          </w:tcPr>
          <w:p w14:paraId="74AAD33C" w14:textId="77777777" w:rsidR="006B7C20" w:rsidRPr="00115608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08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Acompanhamento do Acordo de Cooperação Técnica entre FABH-SMT e Agência PCJ</w:t>
            </w:r>
          </w:p>
        </w:tc>
        <w:tc>
          <w:tcPr>
            <w:tcW w:w="5565" w:type="dxa"/>
          </w:tcPr>
          <w:p w14:paraId="58769138" w14:textId="600F2488" w:rsidR="006B7C20" w:rsidRPr="00115608" w:rsidRDefault="009017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608">
              <w:rPr>
                <w:rFonts w:ascii="Times New Roman" w:eastAsia="Times New Roman" w:hAnsi="Times New Roman" w:cs="Times New Roman"/>
                <w:sz w:val="24"/>
                <w:szCs w:val="24"/>
              </w:rPr>
              <w:t>Troca de informações e fortalecimento das entidades para aprimoramento de procedimentos operacionais. A ação também pode ser considerada um desdobramento do Plano de Ações Coletivas e Solidárias dos Comitês de Bacias Hidrográficas da Bacia do Rio Tietê</w:t>
            </w:r>
            <w:r w:rsidR="002E5FD7" w:rsidRPr="001156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2B5" w:rsidRPr="00A002B5" w14:paraId="678A8E12" w14:textId="77777777" w:rsidTr="44CB7F2F">
        <w:tc>
          <w:tcPr>
            <w:tcW w:w="570" w:type="dxa"/>
            <w:vAlign w:val="center"/>
          </w:tcPr>
          <w:p w14:paraId="4532C69C" w14:textId="77777777" w:rsidR="006B7C20" w:rsidRPr="00A002B5" w:rsidRDefault="009017CB" w:rsidP="00F3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2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2" w:type="dxa"/>
            <w:vAlign w:val="center"/>
          </w:tcPr>
          <w:p w14:paraId="47FA28F6" w14:textId="57BC2293" w:rsidR="006B7C20" w:rsidRPr="00A002B5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B5">
              <w:rPr>
                <w:rFonts w:ascii="Times New Roman" w:eastAsia="Times New Roman" w:hAnsi="Times New Roman" w:cs="Times New Roman"/>
                <w:sz w:val="24"/>
                <w:szCs w:val="24"/>
              </w:rPr>
              <w:t>Elaboração do Relatório de Situação 202</w:t>
            </w:r>
            <w:r w:rsidR="00A002B5" w:rsidRPr="00A002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02B5">
              <w:rPr>
                <w:rFonts w:ascii="Times New Roman" w:eastAsia="Times New Roman" w:hAnsi="Times New Roman" w:cs="Times New Roman"/>
                <w:sz w:val="24"/>
                <w:szCs w:val="24"/>
              </w:rPr>
              <w:t>/Ano base 202</w:t>
            </w:r>
            <w:r w:rsidR="00A002B5" w:rsidRPr="00A002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14:paraId="63023A7C" w14:textId="0B9B842A" w:rsidR="006B7C20" w:rsidRPr="00A002B5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B5">
              <w:rPr>
                <w:rFonts w:ascii="Times New Roman" w:eastAsia="Times New Roman" w:hAnsi="Times New Roman" w:cs="Times New Roman"/>
                <w:sz w:val="24"/>
                <w:szCs w:val="24"/>
              </w:rPr>
              <w:t>Atualização anual do Plano de Bacias. Competência da FABH-SMT, conforme previsto nas políticas de recursos hídricos</w:t>
            </w:r>
            <w:r w:rsidR="0005D4B3" w:rsidRPr="00A002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51BB" w:rsidRPr="00A002B5" w14:paraId="257AD5CB" w14:textId="77777777" w:rsidTr="44CB7F2F">
        <w:tc>
          <w:tcPr>
            <w:tcW w:w="570" w:type="dxa"/>
            <w:vAlign w:val="center"/>
          </w:tcPr>
          <w:p w14:paraId="53FA70ED" w14:textId="569AF8F1" w:rsidR="00F151BB" w:rsidRPr="004F67A1" w:rsidRDefault="004A5687" w:rsidP="00F3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7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62" w:type="dxa"/>
            <w:vAlign w:val="center"/>
          </w:tcPr>
          <w:p w14:paraId="49CB26F6" w14:textId="2C86CB72" w:rsidR="00F151BB" w:rsidRPr="00A002B5" w:rsidRDefault="004F67A1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Elaboração do Plano de Ação e Programa de Investimentos </w:t>
            </w:r>
            <w:r w:rsidR="00F151BB" w:rsidRPr="004F67A1">
              <w:rPr>
                <w:rFonts w:ascii="Times New Roman" w:eastAsia="Times New Roman" w:hAnsi="Times New Roman" w:cs="Times New Roman"/>
                <w:sz w:val="24"/>
                <w:szCs w:val="24"/>
              </w:rPr>
              <w:t>PA/PI</w:t>
            </w:r>
            <w:r w:rsidRPr="004F67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CBH-SMT para o quadriênio 2024-2027 e atualização do PA/PI 2020-2023</w:t>
            </w:r>
          </w:p>
        </w:tc>
        <w:tc>
          <w:tcPr>
            <w:tcW w:w="5565" w:type="dxa"/>
          </w:tcPr>
          <w:p w14:paraId="11A296AB" w14:textId="2F9B1E62" w:rsidR="00F151BB" w:rsidRPr="00A002B5" w:rsidRDefault="004F67A1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Atualização conforme acompanhamento dos empreendimentos indicados, em execução, concluídos e cancelados e comparativo com as metas estabelecidas para o quadriênio.</w:t>
            </w:r>
          </w:p>
        </w:tc>
      </w:tr>
      <w:tr w:rsidR="008357A8" w:rsidRPr="008357A8" w14:paraId="46B6EDF7" w14:textId="77777777" w:rsidTr="44CB7F2F">
        <w:tc>
          <w:tcPr>
            <w:tcW w:w="570" w:type="dxa"/>
            <w:vAlign w:val="center"/>
          </w:tcPr>
          <w:p w14:paraId="49793F60" w14:textId="32B2F139" w:rsidR="006B7C20" w:rsidRPr="008357A8" w:rsidRDefault="004A5687" w:rsidP="00F3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62" w:type="dxa"/>
            <w:vAlign w:val="center"/>
          </w:tcPr>
          <w:p w14:paraId="4B8122DC" w14:textId="77777777" w:rsidR="006B7C20" w:rsidRPr="008357A8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A8">
              <w:rPr>
                <w:rFonts w:ascii="Times New Roman" w:eastAsia="Times New Roman" w:hAnsi="Times New Roman" w:cs="Times New Roman"/>
                <w:sz w:val="24"/>
                <w:szCs w:val="24"/>
              </w:rPr>
              <w:t>Suporte técnico e de infraestrutura das reuniões plenárias do CBH-SMT, eventos no âmbito das Câmaras Técnicas do CBH-SMT e outras instâncias</w:t>
            </w:r>
          </w:p>
        </w:tc>
        <w:tc>
          <w:tcPr>
            <w:tcW w:w="5565" w:type="dxa"/>
          </w:tcPr>
          <w:p w14:paraId="34233BB9" w14:textId="3B3991F5" w:rsidR="006B7C20" w:rsidRPr="008357A8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A8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 relativa a cerimonial, recepção, protocolo e assistência de palco para reuniões plenárias do CBH-SMT, eventos no âmbito das Câmaras Técnicas e outras instâncias de atuação do CBH-SMT. A</w:t>
            </w:r>
            <w:r w:rsidR="00C634BD" w:rsidRPr="008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poio também às </w:t>
            </w:r>
            <w:r w:rsidRPr="008357A8">
              <w:rPr>
                <w:rFonts w:ascii="Times New Roman" w:eastAsia="Times New Roman" w:hAnsi="Times New Roman" w:cs="Times New Roman"/>
                <w:sz w:val="24"/>
                <w:szCs w:val="24"/>
              </w:rPr>
              <w:t>reuniões virtuais para transmissões via internet.</w:t>
            </w:r>
          </w:p>
        </w:tc>
      </w:tr>
      <w:tr w:rsidR="008357A8" w:rsidRPr="008357A8" w14:paraId="74B13779" w14:textId="77777777" w:rsidTr="44CB7F2F">
        <w:tc>
          <w:tcPr>
            <w:tcW w:w="570" w:type="dxa"/>
            <w:vAlign w:val="center"/>
          </w:tcPr>
          <w:p w14:paraId="72D3FAB0" w14:textId="577EE14A" w:rsidR="006B7C20" w:rsidRPr="008357A8" w:rsidRDefault="004A5687" w:rsidP="00F3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2" w:type="dxa"/>
            <w:vAlign w:val="center"/>
          </w:tcPr>
          <w:p w14:paraId="49452999" w14:textId="77777777" w:rsidR="006B7C20" w:rsidRPr="008357A8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A8">
              <w:rPr>
                <w:rFonts w:ascii="Times New Roman" w:eastAsia="Times New Roman" w:hAnsi="Times New Roman" w:cs="Times New Roman"/>
                <w:sz w:val="24"/>
                <w:szCs w:val="24"/>
              </w:rPr>
              <w:t>Gerenciamento de informações técnicas e administrativas no âmbito do CBH-SMT</w:t>
            </w:r>
          </w:p>
        </w:tc>
        <w:tc>
          <w:tcPr>
            <w:tcW w:w="5565" w:type="dxa"/>
            <w:vAlign w:val="center"/>
          </w:tcPr>
          <w:p w14:paraId="7D59AF91" w14:textId="77777777" w:rsidR="006B7C20" w:rsidRPr="008357A8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7A8">
              <w:rPr>
                <w:rFonts w:ascii="Times New Roman" w:eastAsia="Times New Roman" w:hAnsi="Times New Roman" w:cs="Times New Roman"/>
                <w:sz w:val="24"/>
                <w:szCs w:val="24"/>
              </w:rPr>
              <w:t>Suporte ao funcionamento do CBH-SMT</w:t>
            </w:r>
          </w:p>
        </w:tc>
      </w:tr>
      <w:tr w:rsidR="0024187F" w:rsidRPr="0024187F" w14:paraId="307548F4" w14:textId="77777777" w:rsidTr="44CB7F2F">
        <w:tc>
          <w:tcPr>
            <w:tcW w:w="570" w:type="dxa"/>
            <w:vAlign w:val="center"/>
          </w:tcPr>
          <w:p w14:paraId="4DAA0914" w14:textId="40B4872B" w:rsidR="006B7C20" w:rsidRPr="0024187F" w:rsidRDefault="004A5687" w:rsidP="00F3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62" w:type="dxa"/>
            <w:vAlign w:val="center"/>
          </w:tcPr>
          <w:p w14:paraId="0F2B224E" w14:textId="77777777" w:rsidR="006B7C20" w:rsidRPr="0024187F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7F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atividades do CBH-SMT</w:t>
            </w:r>
          </w:p>
        </w:tc>
        <w:tc>
          <w:tcPr>
            <w:tcW w:w="5565" w:type="dxa"/>
          </w:tcPr>
          <w:p w14:paraId="04CFBC3E" w14:textId="39E07CB1" w:rsidR="006B7C20" w:rsidRPr="0024187F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Elaboração do relatório de atividades do CBH-SMT para subsídio ao Relatório de Situação da </w:t>
            </w:r>
            <w:proofErr w:type="spellStart"/>
            <w:r w:rsidRPr="0024187F">
              <w:rPr>
                <w:rFonts w:ascii="Times New Roman" w:eastAsia="Times New Roman" w:hAnsi="Times New Roman" w:cs="Times New Roman"/>
                <w:sz w:val="24"/>
                <w:szCs w:val="24"/>
              </w:rPr>
              <w:t>CRHi</w:t>
            </w:r>
            <w:proofErr w:type="spellEnd"/>
            <w:r w:rsidR="00F004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49E8" w:rsidRPr="005849E8" w14:paraId="4329BD41" w14:textId="77777777" w:rsidTr="44CB7F2F">
        <w:tc>
          <w:tcPr>
            <w:tcW w:w="570" w:type="dxa"/>
            <w:vAlign w:val="center"/>
          </w:tcPr>
          <w:p w14:paraId="32B1CE51" w14:textId="1D7AB53B" w:rsidR="006B7C20" w:rsidRPr="005849E8" w:rsidRDefault="004A5687" w:rsidP="00F3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062" w:type="dxa"/>
          </w:tcPr>
          <w:p w14:paraId="6A44C015" w14:textId="77777777" w:rsidR="006B7C20" w:rsidRPr="005849E8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9E8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Acompanhamento técnico do empreendimento “Sala de Situação – desenvolvimento do modelo conceitual”</w:t>
            </w:r>
          </w:p>
        </w:tc>
        <w:tc>
          <w:tcPr>
            <w:tcW w:w="5565" w:type="dxa"/>
          </w:tcPr>
          <w:p w14:paraId="6A89CA7B" w14:textId="77777777" w:rsidR="006B7C20" w:rsidRPr="005849E8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Empreendimento 2019-SMT_COB-290, Contrato FEHIDRO 250/2019, orçado em R$ 700.000,00 em execução. Trata-se de demanda da </w:t>
            </w:r>
            <w:proofErr w:type="spellStart"/>
            <w:r w:rsidRPr="005849E8">
              <w:rPr>
                <w:rFonts w:ascii="Times New Roman" w:eastAsia="Times New Roman" w:hAnsi="Times New Roman" w:cs="Times New Roman"/>
                <w:sz w:val="24"/>
                <w:szCs w:val="24"/>
              </w:rPr>
              <w:t>CRHi</w:t>
            </w:r>
            <w:proofErr w:type="spellEnd"/>
            <w:r w:rsidRPr="00584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aos CBHs.</w:t>
            </w:r>
          </w:p>
        </w:tc>
      </w:tr>
      <w:tr w:rsidR="004207D2" w:rsidRPr="004207D2" w14:paraId="55C6C258" w14:textId="77777777" w:rsidTr="44CB7F2F">
        <w:tc>
          <w:tcPr>
            <w:tcW w:w="570" w:type="dxa"/>
            <w:vAlign w:val="center"/>
          </w:tcPr>
          <w:p w14:paraId="334E4805" w14:textId="6DEDAA80" w:rsidR="006B7C20" w:rsidRPr="004207D2" w:rsidRDefault="004A5687" w:rsidP="00F3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62" w:type="dxa"/>
          </w:tcPr>
          <w:p w14:paraId="5D2DC6C0" w14:textId="46642F6C" w:rsidR="006B7C20" w:rsidRPr="004207D2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D2">
              <w:rPr>
                <w:rFonts w:ascii="Times New Roman" w:eastAsia="Times New Roman" w:hAnsi="Times New Roman" w:cs="Times New Roman"/>
                <w:sz w:val="24"/>
                <w:szCs w:val="24"/>
              </w:rPr>
              <w:t>Orientação aos potenciais tomadores de recursos FEHIDRO 202</w:t>
            </w:r>
            <w:r w:rsidR="1562A1BB" w:rsidRPr="004207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</w:tcPr>
          <w:p w14:paraId="402E92E9" w14:textId="77777777" w:rsidR="006B7C20" w:rsidRPr="004207D2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D2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 permanente que envolve a capacitação dos potenciais tomadores de recursos financeiros FEHIDRO.</w:t>
            </w:r>
          </w:p>
        </w:tc>
      </w:tr>
      <w:tr w:rsidR="004207D2" w:rsidRPr="004207D2" w14:paraId="206E7C28" w14:textId="77777777" w:rsidTr="44CB7F2F">
        <w:tc>
          <w:tcPr>
            <w:tcW w:w="570" w:type="dxa"/>
            <w:vAlign w:val="center"/>
          </w:tcPr>
          <w:p w14:paraId="451A91AB" w14:textId="5CA444C2" w:rsidR="006B7C20" w:rsidRPr="004207D2" w:rsidRDefault="004A5687" w:rsidP="00F3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62" w:type="dxa"/>
          </w:tcPr>
          <w:p w14:paraId="275335F3" w14:textId="77777777" w:rsidR="006B7C20" w:rsidRPr="004207D2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Análise prévia de empreendimentos protocolados no CBH-SMT para recebimento de recursos financeiros do FEHIDRO. Esta ação envolve a contratação de empresa de engenharia, recebimento dos protocolos, envio de comunicados e tratativa com os proponentes e avaliadores, além de análise documental, proposição de hierarquização, apresentação do processo às câmaras técnicas e envio das propostas à </w:t>
            </w:r>
            <w:proofErr w:type="spellStart"/>
            <w:r w:rsidRPr="004207D2">
              <w:rPr>
                <w:rFonts w:ascii="Times New Roman" w:eastAsia="Times New Roman" w:hAnsi="Times New Roman" w:cs="Times New Roman"/>
                <w:sz w:val="24"/>
                <w:szCs w:val="24"/>
              </w:rPr>
              <w:t>CRHi</w:t>
            </w:r>
            <w:proofErr w:type="spellEnd"/>
            <w:r w:rsidRPr="004207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5" w:type="dxa"/>
            <w:vAlign w:val="center"/>
          </w:tcPr>
          <w:p w14:paraId="3E49632D" w14:textId="77777777" w:rsidR="006B7C20" w:rsidRPr="004207D2" w:rsidRDefault="009017CB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7D2">
              <w:rPr>
                <w:rFonts w:ascii="Times New Roman" w:eastAsia="Times New Roman" w:hAnsi="Times New Roman" w:cs="Times New Roman"/>
                <w:sz w:val="24"/>
                <w:szCs w:val="24"/>
              </w:rPr>
              <w:t>A FABH-SMT é responsável pela análise técnica dos empreendimentos candidatos a tomadores de recursos financeiros do FEHIDRO anualmente.</w:t>
            </w:r>
          </w:p>
        </w:tc>
      </w:tr>
      <w:tr w:rsidR="00356D92" w:rsidRPr="004207D2" w14:paraId="1F7EDA85" w14:textId="77777777" w:rsidTr="44CB7F2F">
        <w:tc>
          <w:tcPr>
            <w:tcW w:w="570" w:type="dxa"/>
            <w:vAlign w:val="center"/>
          </w:tcPr>
          <w:p w14:paraId="2F9063E5" w14:textId="7599A647" w:rsidR="00356D92" w:rsidRPr="00024FED" w:rsidRDefault="004A5687" w:rsidP="00F310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62" w:type="dxa"/>
          </w:tcPr>
          <w:p w14:paraId="515527F3" w14:textId="49F794C6" w:rsidR="00356D92" w:rsidRPr="00024FED" w:rsidRDefault="00FF246A" w:rsidP="000A22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FED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Acompanhamento</w:t>
            </w:r>
            <w:r w:rsidR="00C27953" w:rsidRPr="0002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 empreendimentos financiados pelo</w:t>
            </w:r>
            <w:r w:rsidRPr="0002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FEHIDRO</w:t>
            </w:r>
            <w:r w:rsidR="00C27953" w:rsidRPr="0002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bacia do SMT</w:t>
            </w:r>
            <w:r w:rsidR="00591B4A" w:rsidRPr="0002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B4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 </w:t>
            </w:r>
            <w:r w:rsidR="00591B4A" w:rsidRPr="00024FED">
              <w:rPr>
                <w:rFonts w:ascii="Times New Roman" w:eastAsia="Times New Roman" w:hAnsi="Times New Roman" w:cs="Times New Roman"/>
                <w:sz w:val="24"/>
                <w:szCs w:val="24"/>
              </w:rPr>
              <w:t>suporte aos tomadores</w:t>
            </w:r>
            <w:r w:rsidR="00A01D0A" w:rsidRPr="0002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apoio à SECOFEHIDRO</w:t>
            </w:r>
          </w:p>
        </w:tc>
        <w:tc>
          <w:tcPr>
            <w:tcW w:w="5565" w:type="dxa"/>
            <w:vAlign w:val="center"/>
          </w:tcPr>
          <w:p w14:paraId="4AEA745C" w14:textId="434747E2" w:rsidR="00356D92" w:rsidRPr="004207D2" w:rsidRDefault="00F64F4C" w:rsidP="00F3102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Atribuição da diretoria técnica da FABH-SMT, conforme Estatuto da Fundação.</w:t>
            </w:r>
          </w:p>
        </w:tc>
      </w:tr>
      <w:tr w:rsidR="0026758B" w:rsidRPr="0026758B" w14:paraId="099F1D2E" w14:textId="77777777" w:rsidTr="44CB7F2F">
        <w:tc>
          <w:tcPr>
            <w:tcW w:w="570" w:type="dxa"/>
            <w:vAlign w:val="center"/>
          </w:tcPr>
          <w:p w14:paraId="42076235" w14:textId="2D145E3A" w:rsidR="006B7C20" w:rsidRPr="0026758B" w:rsidRDefault="009017CB" w:rsidP="008F7B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A5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2" w:type="dxa"/>
            <w:vAlign w:val="center"/>
          </w:tcPr>
          <w:p w14:paraId="304F5CB4" w14:textId="4B98133E" w:rsidR="006B7C20" w:rsidRPr="0026758B" w:rsidRDefault="009017CB" w:rsidP="008F7B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8B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Acompanhamento do Plano de Ação conjunt</w:t>
            </w:r>
            <w:r w:rsidR="00252862" w:rsidRPr="0026758B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267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Bacia do Rio Tietê</w:t>
            </w:r>
          </w:p>
        </w:tc>
        <w:tc>
          <w:tcPr>
            <w:tcW w:w="5565" w:type="dxa"/>
          </w:tcPr>
          <w:p w14:paraId="6FA43556" w14:textId="77777777" w:rsidR="006B7C20" w:rsidRPr="0026758B" w:rsidRDefault="009017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58B">
              <w:rPr>
                <w:rFonts w:ascii="Times New Roman" w:eastAsia="Times New Roman" w:hAnsi="Times New Roman" w:cs="Times New Roman"/>
                <w:sz w:val="24"/>
                <w:szCs w:val="24"/>
              </w:rPr>
              <w:t>Necessidade de motivar e ampliar as ações conjuntas dos Comitês visando fortalecer a gestão na Bacia do Rio Tietê.</w:t>
            </w:r>
          </w:p>
        </w:tc>
      </w:tr>
      <w:tr w:rsidR="00B60851" w:rsidRPr="00B60851" w14:paraId="7DD1F361" w14:textId="77777777" w:rsidTr="44CB7F2F">
        <w:tc>
          <w:tcPr>
            <w:tcW w:w="570" w:type="dxa"/>
            <w:vAlign w:val="center"/>
          </w:tcPr>
          <w:p w14:paraId="382F27C8" w14:textId="30A6FD13" w:rsidR="006B7C20" w:rsidRPr="00B60851" w:rsidRDefault="009017CB" w:rsidP="008F7B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A5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2" w:type="dxa"/>
            <w:vAlign w:val="center"/>
          </w:tcPr>
          <w:p w14:paraId="0415F4BC" w14:textId="77777777" w:rsidR="006B7C20" w:rsidRPr="00B60851" w:rsidRDefault="009017CB" w:rsidP="008F7B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51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Acompanhamento das ações de comunicação social para a Bacia do Tietê</w:t>
            </w:r>
          </w:p>
        </w:tc>
        <w:tc>
          <w:tcPr>
            <w:tcW w:w="5565" w:type="dxa"/>
          </w:tcPr>
          <w:p w14:paraId="595A71F0" w14:textId="77777777" w:rsidR="006B7C20" w:rsidRPr="00B60851" w:rsidRDefault="009017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51">
              <w:rPr>
                <w:rFonts w:ascii="Times New Roman" w:eastAsia="Times New Roman" w:hAnsi="Times New Roman" w:cs="Times New Roman"/>
                <w:sz w:val="24"/>
                <w:szCs w:val="24"/>
              </w:rPr>
              <w:t>Trata-se de item presente no Plano de Ações coletivas e Solidárias dos Comitês de Bacias Hidrográficas da Bacia do Rio Tietê.</w:t>
            </w:r>
          </w:p>
        </w:tc>
      </w:tr>
      <w:tr w:rsidR="00973E08" w:rsidRPr="00BC6C15" w14:paraId="04B87157" w14:textId="77777777" w:rsidTr="44CB7F2F">
        <w:tc>
          <w:tcPr>
            <w:tcW w:w="570" w:type="dxa"/>
            <w:vAlign w:val="center"/>
          </w:tcPr>
          <w:p w14:paraId="7A72BF5B" w14:textId="47B3E371" w:rsidR="006B7C20" w:rsidRPr="00BC6C15" w:rsidRDefault="009017CB" w:rsidP="008F7B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C6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62" w:type="dxa"/>
            <w:vAlign w:val="center"/>
          </w:tcPr>
          <w:p w14:paraId="1F23EE49" w14:textId="706C5E70" w:rsidR="006B7C20" w:rsidRPr="00BC6C15" w:rsidRDefault="009017CB" w:rsidP="008F7B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Apoio à execução </w:t>
            </w:r>
            <w:r w:rsidR="00BC6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atualização </w:t>
            </w:r>
            <w:r w:rsidRPr="00BC6C15">
              <w:rPr>
                <w:rFonts w:ascii="Times New Roman" w:eastAsia="Times New Roman" w:hAnsi="Times New Roman" w:cs="Times New Roman"/>
                <w:sz w:val="24"/>
                <w:szCs w:val="24"/>
              </w:rPr>
              <w:t>do plano de comunicação do CBH-SMT 2021-2024</w:t>
            </w:r>
          </w:p>
        </w:tc>
        <w:tc>
          <w:tcPr>
            <w:tcW w:w="5565" w:type="dxa"/>
          </w:tcPr>
          <w:p w14:paraId="40793379" w14:textId="77777777" w:rsidR="006B7C20" w:rsidRPr="00BC6C15" w:rsidRDefault="009017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C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Fortalecimento e aprimoramento da comunicação entre FABH-SMT, CBH-SMT e população da bacia, esclarecer suas atribuições para agentes e comunidade em geral, ampliar e qualificar o debate e tomada de decisão sobre o uso da água, além de aumentar a participação nos fóruns de discussão sobre o tema. A FABH-SMT, em parceria com a CT-EEA do CBH-SMT é responsável pela elaboração, aprovação em plenária e </w:t>
            </w:r>
            <w:r w:rsidRPr="00BC6C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monitoramento deste plano, além também de executar algumas das ações inseridas no mesmo.</w:t>
            </w:r>
          </w:p>
        </w:tc>
      </w:tr>
      <w:tr w:rsidR="00973E08" w:rsidRPr="00C658A2" w14:paraId="0EB32659" w14:textId="77777777" w:rsidTr="44CB7F2F">
        <w:tc>
          <w:tcPr>
            <w:tcW w:w="570" w:type="dxa"/>
            <w:vAlign w:val="center"/>
          </w:tcPr>
          <w:p w14:paraId="32E0DBEA" w14:textId="58DDFB7D" w:rsidR="006B7C20" w:rsidRPr="00C658A2" w:rsidRDefault="009017CB" w:rsidP="008F7B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C6C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14:paraId="77617A85" w14:textId="77777777" w:rsidR="006B7C20" w:rsidRPr="00C658A2" w:rsidRDefault="009017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A2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Acompanhamento e apoio às ações de capacitação técnica aos membros do CBH-SMT</w:t>
            </w:r>
          </w:p>
        </w:tc>
        <w:tc>
          <w:tcPr>
            <w:tcW w:w="5565" w:type="dxa"/>
          </w:tcPr>
          <w:p w14:paraId="71A62A56" w14:textId="46C2A342" w:rsidR="006B7C20" w:rsidRPr="00C658A2" w:rsidRDefault="009017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Capacitação de membros do CBH-SMT </w:t>
            </w:r>
            <w:r w:rsidR="00201D75" w:rsidRPr="00C65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potenciais tomadores de recursos financeiros do FEHIDRO para </w:t>
            </w:r>
            <w:r w:rsidR="00C658A2" w:rsidRPr="00C65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elaboração e gerenciamento </w:t>
            </w:r>
            <w:r w:rsidR="00811515" w:rsidRPr="00C65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projetos </w:t>
            </w:r>
            <w:r w:rsidR="00C658A2" w:rsidRPr="00C658A2">
              <w:rPr>
                <w:rFonts w:ascii="Times New Roman" w:eastAsia="Times New Roman" w:hAnsi="Times New Roman" w:cs="Times New Roman"/>
                <w:sz w:val="24"/>
                <w:szCs w:val="24"/>
              </w:rPr>
              <w:t>na plataforma SINFEHIDRO</w:t>
            </w:r>
          </w:p>
        </w:tc>
      </w:tr>
      <w:tr w:rsidR="00B53784" w:rsidRPr="000A38B2" w14:paraId="1EBD277A" w14:textId="77777777" w:rsidTr="44CB7F2F">
        <w:tc>
          <w:tcPr>
            <w:tcW w:w="570" w:type="dxa"/>
            <w:vAlign w:val="center"/>
          </w:tcPr>
          <w:p w14:paraId="09D2D69D" w14:textId="5245D003" w:rsidR="006B7C20" w:rsidRPr="000A38B2" w:rsidRDefault="009017CB" w:rsidP="008F7B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A38B2" w:rsidRPr="000A3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2" w:type="dxa"/>
          </w:tcPr>
          <w:p w14:paraId="787FF3F0" w14:textId="77777777" w:rsidR="006B7C20" w:rsidRPr="000A38B2" w:rsidRDefault="009017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Gerenciamento das redes sociais do CBH-SMT e FABH-SMT</w:t>
            </w:r>
          </w:p>
        </w:tc>
        <w:tc>
          <w:tcPr>
            <w:tcW w:w="5565" w:type="dxa"/>
          </w:tcPr>
          <w:p w14:paraId="5FBE3326" w14:textId="77777777" w:rsidR="006B7C20" w:rsidRPr="000A38B2" w:rsidRDefault="009017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das ações institucionais da FABH-SMT e do CBH-SMT.</w:t>
            </w:r>
          </w:p>
        </w:tc>
      </w:tr>
      <w:tr w:rsidR="00B53784" w:rsidRPr="000A38B2" w14:paraId="1CFACB23" w14:textId="77777777" w:rsidTr="44CB7F2F">
        <w:tc>
          <w:tcPr>
            <w:tcW w:w="570" w:type="dxa"/>
            <w:vAlign w:val="center"/>
          </w:tcPr>
          <w:p w14:paraId="59A031A9" w14:textId="3E0ECCB7" w:rsidR="006B7C20" w:rsidRPr="000A38B2" w:rsidRDefault="009017CB" w:rsidP="008F7B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A38B2" w:rsidRPr="000A3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62" w:type="dxa"/>
          </w:tcPr>
          <w:p w14:paraId="719DFF07" w14:textId="77777777" w:rsidR="006B7C20" w:rsidRPr="000A38B2" w:rsidRDefault="009017C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Organização dos Workshops FABH-SMT de projetos FEHIDRO concluídos na bacia do SMT</w:t>
            </w:r>
          </w:p>
        </w:tc>
        <w:tc>
          <w:tcPr>
            <w:tcW w:w="5565" w:type="dxa"/>
            <w:vAlign w:val="center"/>
          </w:tcPr>
          <w:p w14:paraId="554D9931" w14:textId="77777777" w:rsidR="006B7C20" w:rsidRPr="000A38B2" w:rsidRDefault="009017CB" w:rsidP="008F7B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Viabilizar a troca de experiências e ideias acerca de empreendimentos concluídos na bacia do SMT.</w:t>
            </w:r>
          </w:p>
        </w:tc>
      </w:tr>
      <w:tr w:rsidR="004F67A1" w:rsidRPr="000A38B2" w14:paraId="6361417A" w14:textId="77777777" w:rsidTr="44CB7F2F">
        <w:tc>
          <w:tcPr>
            <w:tcW w:w="570" w:type="dxa"/>
            <w:vAlign w:val="center"/>
          </w:tcPr>
          <w:p w14:paraId="2FA53CA4" w14:textId="2B6FAD82" w:rsidR="004F67A1" w:rsidRPr="000A38B2" w:rsidRDefault="000A38B2" w:rsidP="008F7B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62" w:type="dxa"/>
          </w:tcPr>
          <w:p w14:paraId="71143644" w14:textId="2EE7C8F8" w:rsidR="004F67A1" w:rsidRPr="000A38B2" w:rsidRDefault="004F67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Elaboração do planejamento anual </w:t>
            </w:r>
            <w:r w:rsidR="00C30FED" w:rsidRP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da FABH-SMT para 2025 e do relatório de atividades do ano de 2024</w:t>
            </w:r>
          </w:p>
        </w:tc>
        <w:tc>
          <w:tcPr>
            <w:tcW w:w="5565" w:type="dxa"/>
            <w:vAlign w:val="center"/>
          </w:tcPr>
          <w:p w14:paraId="2F72D4FA" w14:textId="66184A3E" w:rsidR="004F67A1" w:rsidRPr="000A38B2" w:rsidRDefault="00F052C9" w:rsidP="008F7B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Documentos previstos no Estatuto da FABH-SMT</w:t>
            </w:r>
          </w:p>
        </w:tc>
      </w:tr>
      <w:tr w:rsidR="00217963" w:rsidRPr="000A38B2" w14:paraId="4AAC8B39" w14:textId="77777777" w:rsidTr="44CB7F2F">
        <w:tc>
          <w:tcPr>
            <w:tcW w:w="570" w:type="dxa"/>
            <w:vAlign w:val="center"/>
          </w:tcPr>
          <w:p w14:paraId="38A69F3F" w14:textId="6027F2A0" w:rsidR="00217963" w:rsidRPr="000A38B2" w:rsidRDefault="000A38B2" w:rsidP="002179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62" w:type="dxa"/>
          </w:tcPr>
          <w:p w14:paraId="6B380E3F" w14:textId="56D966BF" w:rsidR="00217963" w:rsidRPr="000A38B2" w:rsidRDefault="00217963" w:rsidP="002179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Suporte às reuniões dos Conselhos Deliberativo e Fiscal da FABH-SMT.</w:t>
            </w:r>
          </w:p>
        </w:tc>
        <w:tc>
          <w:tcPr>
            <w:tcW w:w="5565" w:type="dxa"/>
            <w:vAlign w:val="center"/>
          </w:tcPr>
          <w:p w14:paraId="60878956" w14:textId="3B03DDB1" w:rsidR="00217963" w:rsidRPr="000A38B2" w:rsidRDefault="00217963" w:rsidP="002179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Suporte na elaboração e envio de documentos, apresentação dos itens de pauta nas reuniões e esclarecimento de informações.</w:t>
            </w:r>
          </w:p>
        </w:tc>
      </w:tr>
      <w:tr w:rsidR="00217963" w:rsidRPr="000A38B2" w14:paraId="47784ACF" w14:textId="77777777" w:rsidTr="44CB7F2F">
        <w:tc>
          <w:tcPr>
            <w:tcW w:w="570" w:type="dxa"/>
            <w:vAlign w:val="center"/>
          </w:tcPr>
          <w:p w14:paraId="07A9AD03" w14:textId="7D1BD9AC" w:rsidR="00217963" w:rsidRPr="000A38B2" w:rsidRDefault="000A38B2" w:rsidP="002179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62" w:type="dxa"/>
          </w:tcPr>
          <w:p w14:paraId="135F1154" w14:textId="2AD226C4" w:rsidR="00217963" w:rsidRPr="000A38B2" w:rsidRDefault="00217963" w:rsidP="002179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Elaboração do Plano de Aplicação Anual.</w:t>
            </w:r>
          </w:p>
        </w:tc>
        <w:tc>
          <w:tcPr>
            <w:tcW w:w="5565" w:type="dxa"/>
            <w:vAlign w:val="center"/>
          </w:tcPr>
          <w:p w14:paraId="412870B3" w14:textId="5934C94B" w:rsidR="00217963" w:rsidRPr="000A38B2" w:rsidRDefault="00217963" w:rsidP="002179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Elaboração do Plano de Aplicação Anual, em parceria com a Secretaria Executiva do CBH-SMT e Diretoria </w:t>
            </w:r>
            <w:r w:rsidRP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Administrativa e Financeira </w:t>
            </w:r>
            <w:r w:rsidRPr="000A38B2">
              <w:rPr>
                <w:rFonts w:ascii="Times New Roman" w:eastAsia="Times New Roman" w:hAnsi="Times New Roman" w:cs="Times New Roman"/>
                <w:sz w:val="24"/>
                <w:szCs w:val="24"/>
              </w:rPr>
              <w:t>da FABH-SMT, dos recursos arrecadados pela cobrança pelo uso dos recursos hídricos, bem como o rendimento da aplicação e o saldo residual do exercício anterior.</w:t>
            </w:r>
          </w:p>
        </w:tc>
      </w:tr>
    </w:tbl>
    <w:p w14:paraId="3B8B18D1" w14:textId="77777777" w:rsidR="00B238FF" w:rsidRPr="00973E08" w:rsidRDefault="00B23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FF05A1C" w14:textId="77777777" w:rsidR="00B238FF" w:rsidRDefault="00B238F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14:paraId="4D33689C" w14:textId="6243D933" w:rsidR="006B7C20" w:rsidRDefault="00901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649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Diretoria Administrativa e Financeira</w:t>
      </w:r>
    </w:p>
    <w:p w14:paraId="4840F686" w14:textId="77777777" w:rsidR="006B7C20" w:rsidRDefault="006B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3E41F3" w14:textId="77777777" w:rsidR="006B7C20" w:rsidRDefault="00901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9F8">
        <w:rPr>
          <w:rFonts w:ascii="Times New Roman" w:eastAsia="Times New Roman" w:hAnsi="Times New Roman" w:cs="Times New Roman"/>
          <w:b/>
          <w:sz w:val="24"/>
          <w:szCs w:val="24"/>
        </w:rPr>
        <w:t>Novas atividades</w:t>
      </w:r>
    </w:p>
    <w:tbl>
      <w:tblPr>
        <w:tblW w:w="101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3777"/>
        <w:gridCol w:w="5939"/>
      </w:tblGrid>
      <w:tr w:rsidR="00C24E25" w:rsidRPr="00C24E25" w14:paraId="5499EE9A" w14:textId="77777777" w:rsidTr="0A9BFD4E">
        <w:tc>
          <w:tcPr>
            <w:tcW w:w="481" w:type="dxa"/>
          </w:tcPr>
          <w:p w14:paraId="2FAF7FCB" w14:textId="77777777" w:rsidR="006B7C20" w:rsidRPr="00C24E25" w:rsidRDefault="006B7C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7" w:type="dxa"/>
          </w:tcPr>
          <w:p w14:paraId="7AC6557A" w14:textId="77777777" w:rsidR="006B7C20" w:rsidRPr="00C24E25" w:rsidRDefault="0090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da Ação</w:t>
            </w:r>
          </w:p>
        </w:tc>
        <w:tc>
          <w:tcPr>
            <w:tcW w:w="5939" w:type="dxa"/>
          </w:tcPr>
          <w:p w14:paraId="25CA1525" w14:textId="77777777" w:rsidR="006B7C20" w:rsidRPr="00C24E25" w:rsidRDefault="0090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</w:t>
            </w:r>
          </w:p>
        </w:tc>
      </w:tr>
      <w:tr w:rsidR="00973E08" w:rsidRPr="00973E08" w14:paraId="6C94AF76" w14:textId="77777777" w:rsidTr="0A9BFD4E">
        <w:tc>
          <w:tcPr>
            <w:tcW w:w="481" w:type="dxa"/>
            <w:vAlign w:val="center"/>
          </w:tcPr>
          <w:p w14:paraId="7B460F39" w14:textId="728A3D3A" w:rsidR="006B7C20" w:rsidRPr="00973E08" w:rsidRDefault="354578CB" w:rsidP="47794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7" w:type="dxa"/>
            <w:vAlign w:val="center"/>
          </w:tcPr>
          <w:p w14:paraId="49C2F478" w14:textId="77777777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Auditoria independente</w:t>
            </w:r>
          </w:p>
        </w:tc>
        <w:tc>
          <w:tcPr>
            <w:tcW w:w="5939" w:type="dxa"/>
          </w:tcPr>
          <w:p w14:paraId="572975AF" w14:textId="3F62D2FB" w:rsidR="006B7C20" w:rsidRPr="00973E08" w:rsidRDefault="127AB8DA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Contratação de prestação de serviços para avaliação dos demonstrativos contábeis e práticas de governança corporativa da Agência SMT.</w:t>
            </w:r>
          </w:p>
        </w:tc>
      </w:tr>
      <w:tr w:rsidR="00973E08" w:rsidRPr="00973E08" w14:paraId="74F6596A" w14:textId="77777777" w:rsidTr="0A9BFD4E">
        <w:trPr>
          <w:trHeight w:val="780"/>
        </w:trPr>
        <w:tc>
          <w:tcPr>
            <w:tcW w:w="481" w:type="dxa"/>
            <w:vAlign w:val="center"/>
          </w:tcPr>
          <w:p w14:paraId="12CC6030" w14:textId="6FA949F0" w:rsidR="7A82EB0B" w:rsidRPr="00973E08" w:rsidRDefault="7A82EB0B" w:rsidP="47794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7" w:type="dxa"/>
            <w:vAlign w:val="center"/>
          </w:tcPr>
          <w:p w14:paraId="67A52E12" w14:textId="6A4E9A4B" w:rsidR="31377B1E" w:rsidRPr="00973E08" w:rsidRDefault="31377B1E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Planejamento estratégico</w:t>
            </w:r>
          </w:p>
          <w:p w14:paraId="04F7179B" w14:textId="67DD011F" w:rsidR="47794C15" w:rsidRPr="00973E08" w:rsidRDefault="47794C15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</w:tcPr>
          <w:p w14:paraId="2D5BA12E" w14:textId="0D69F4EA" w:rsidR="31377B1E" w:rsidRPr="00973E08" w:rsidRDefault="31377B1E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Elaboração de matriz SWOT da Agência SMT e definição de Plano de Ação Estratégico.</w:t>
            </w:r>
          </w:p>
        </w:tc>
      </w:tr>
      <w:tr w:rsidR="00973E08" w:rsidRPr="00973E08" w14:paraId="06AE3D57" w14:textId="77777777" w:rsidTr="0A9BFD4E">
        <w:tc>
          <w:tcPr>
            <w:tcW w:w="481" w:type="dxa"/>
            <w:vAlign w:val="center"/>
          </w:tcPr>
          <w:p w14:paraId="1F1C297F" w14:textId="2CDE7851" w:rsidR="006B7C20" w:rsidRPr="00973E08" w:rsidRDefault="505E16AB" w:rsidP="47794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7" w:type="dxa"/>
            <w:vAlign w:val="center"/>
          </w:tcPr>
          <w:p w14:paraId="1670A8B5" w14:textId="77777777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Inserir usuários inadimplentes no CADIN Estadual</w:t>
            </w:r>
          </w:p>
        </w:tc>
        <w:tc>
          <w:tcPr>
            <w:tcW w:w="5939" w:type="dxa"/>
          </w:tcPr>
          <w:p w14:paraId="7B04EABD" w14:textId="77777777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Concentração de esforços na diminuição dos índices de inadimplência, por meio de campanhas de negociação de débitos diretamente com o usuário e com a inclusão no CADIN Estadual.</w:t>
            </w:r>
          </w:p>
        </w:tc>
      </w:tr>
      <w:tr w:rsidR="00973E08" w:rsidRPr="00973E08" w14:paraId="5CF0A876" w14:textId="77777777" w:rsidTr="0A9BFD4E">
        <w:tc>
          <w:tcPr>
            <w:tcW w:w="481" w:type="dxa"/>
            <w:vAlign w:val="center"/>
          </w:tcPr>
          <w:p w14:paraId="6573DCA3" w14:textId="2C38B1B3" w:rsidR="006B7C20" w:rsidRPr="00973E08" w:rsidRDefault="07E74EAC" w:rsidP="47794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77" w:type="dxa"/>
            <w:vAlign w:val="center"/>
          </w:tcPr>
          <w:p w14:paraId="28E45599" w14:textId="77777777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Inserir usuários inadimplentes na Dívida Ativa do Estado de São Paulo</w:t>
            </w:r>
          </w:p>
        </w:tc>
        <w:tc>
          <w:tcPr>
            <w:tcW w:w="5939" w:type="dxa"/>
          </w:tcPr>
          <w:p w14:paraId="5AB49623" w14:textId="77777777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Concentração de esforços na diminuição dos índices de inadimplência e inclusão dos inadimplentes na Dívida Ativa do Estado de São Paulo.</w:t>
            </w:r>
          </w:p>
        </w:tc>
      </w:tr>
      <w:tr w:rsidR="00973E08" w:rsidRPr="00973E08" w14:paraId="663B6BE4" w14:textId="77777777" w:rsidTr="0A9BFD4E">
        <w:tc>
          <w:tcPr>
            <w:tcW w:w="481" w:type="dxa"/>
            <w:vAlign w:val="center"/>
          </w:tcPr>
          <w:p w14:paraId="177B985A" w14:textId="7A5BCF04" w:rsidR="006B7C20" w:rsidRPr="00973E08" w:rsidRDefault="0F667C9E" w:rsidP="47794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77" w:type="dxa"/>
            <w:vAlign w:val="center"/>
          </w:tcPr>
          <w:p w14:paraId="7B90743B" w14:textId="77777777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Procedimentos para envio ao DAEE de usuários aptos para suspensão e/ou revogação de outorga de direito de usos</w:t>
            </w:r>
          </w:p>
        </w:tc>
        <w:tc>
          <w:tcPr>
            <w:tcW w:w="5939" w:type="dxa"/>
          </w:tcPr>
          <w:p w14:paraId="6FC7FCD5" w14:textId="77777777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Envio de usuários inadimplentes ao DAEE para suspensão e/ou revogação da outorga em cumprimento ao disposto na Portaria DAEE nº 4906/2019.</w:t>
            </w:r>
          </w:p>
        </w:tc>
      </w:tr>
    </w:tbl>
    <w:p w14:paraId="2437A799" w14:textId="1185BF16" w:rsidR="2F4D71C5" w:rsidRDefault="2F4D71C5">
      <w:pPr>
        <w:rPr>
          <w:rFonts w:ascii="Times New Roman" w:eastAsia="Times New Roman" w:hAnsi="Times New Roman" w:cs="Times New Roman"/>
        </w:rPr>
      </w:pPr>
    </w:p>
    <w:p w14:paraId="7CAAF590" w14:textId="1F1418E6" w:rsidR="006B7C20" w:rsidRPr="00973E08" w:rsidRDefault="006B7C20" w:rsidP="47794C1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59B9D28" w14:textId="77777777" w:rsidR="006B7C20" w:rsidRPr="00973E08" w:rsidRDefault="00901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2A8E4D6">
        <w:rPr>
          <w:rFonts w:ascii="Times New Roman" w:eastAsia="Times New Roman" w:hAnsi="Times New Roman" w:cs="Times New Roman"/>
          <w:b/>
          <w:sz w:val="24"/>
          <w:szCs w:val="24"/>
        </w:rPr>
        <w:t>Atividades em andamento</w:t>
      </w:r>
    </w:p>
    <w:tbl>
      <w:tblPr>
        <w:tblW w:w="1019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3767"/>
        <w:gridCol w:w="5949"/>
      </w:tblGrid>
      <w:tr w:rsidR="00973E08" w:rsidRPr="00973E08" w14:paraId="134CAFE8" w14:textId="77777777" w:rsidTr="064A27DC">
        <w:tc>
          <w:tcPr>
            <w:tcW w:w="481" w:type="dxa"/>
          </w:tcPr>
          <w:p w14:paraId="6BEC763B" w14:textId="77777777" w:rsidR="006B7C20" w:rsidRPr="00973E08" w:rsidRDefault="006B7C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14:paraId="6980A5C0" w14:textId="77777777" w:rsidR="006B7C20" w:rsidRPr="00973E08" w:rsidRDefault="0090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da Ação</w:t>
            </w:r>
          </w:p>
        </w:tc>
        <w:tc>
          <w:tcPr>
            <w:tcW w:w="5949" w:type="dxa"/>
          </w:tcPr>
          <w:p w14:paraId="07639B62" w14:textId="77777777" w:rsidR="006B7C20" w:rsidRPr="00973E08" w:rsidRDefault="009017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</w:t>
            </w:r>
          </w:p>
        </w:tc>
      </w:tr>
      <w:tr w:rsidR="00973E08" w:rsidRPr="00973E08" w14:paraId="29DF6530" w14:textId="77777777" w:rsidTr="064A27DC">
        <w:tc>
          <w:tcPr>
            <w:tcW w:w="481" w:type="dxa"/>
            <w:vAlign w:val="center"/>
          </w:tcPr>
          <w:p w14:paraId="00051EB1" w14:textId="77777777" w:rsidR="006B7C20" w:rsidRPr="00973E08" w:rsidRDefault="009017CB" w:rsidP="47794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14:paraId="5F7723BF" w14:textId="37E8C89A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Gerenciamento dos recursos oriundos da Cobrança Estadual Paulista e do Fundo Estadual de Recursos Hídricos (FEHIDRO) e eventuais fontes externas de recursos</w:t>
            </w:r>
            <w:r w:rsidR="4CE2080D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vAlign w:val="center"/>
          </w:tcPr>
          <w:p w14:paraId="78A3401C" w14:textId="77777777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Necessário o gerenciamento dos recursos a fim de que sejam aplicados de forma coerente e viável, conforme demandado nas legislações pertinentes.</w:t>
            </w:r>
          </w:p>
        </w:tc>
      </w:tr>
      <w:tr w:rsidR="00973E08" w:rsidRPr="00973E08" w14:paraId="27834E13" w14:textId="77777777" w:rsidTr="064A27DC">
        <w:tc>
          <w:tcPr>
            <w:tcW w:w="481" w:type="dxa"/>
            <w:vAlign w:val="center"/>
          </w:tcPr>
          <w:p w14:paraId="7A39B561" w14:textId="77777777" w:rsidR="006B7C20" w:rsidRPr="00973E08" w:rsidRDefault="009017CB" w:rsidP="47794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14:paraId="12F04D5E" w14:textId="247D3C66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Inclusão de novas outorgas, fornecidas pelo DAEE, dos usuários da bacia no sistema de cobrança</w:t>
            </w:r>
            <w:r w:rsidR="4CE2080D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vAlign w:val="center"/>
          </w:tcPr>
          <w:p w14:paraId="27D4BDD5" w14:textId="6FBECA98" w:rsidR="006B7C20" w:rsidRPr="00973E08" w:rsidRDefault="3BC95FCF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Atualização do banco de dados da cobrança pelo uso de recursos hídricos na UGRHI-10</w:t>
            </w:r>
            <w:r w:rsidR="386B3A1B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08" w:rsidRPr="00973E08" w14:paraId="4B70E931" w14:textId="77777777" w:rsidTr="064A27DC">
        <w:tc>
          <w:tcPr>
            <w:tcW w:w="481" w:type="dxa"/>
            <w:vAlign w:val="center"/>
          </w:tcPr>
          <w:p w14:paraId="7357037E" w14:textId="77777777" w:rsidR="006B7C20" w:rsidRPr="00973E08" w:rsidRDefault="009017CB" w:rsidP="47794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67" w:type="dxa"/>
            <w:vAlign w:val="center"/>
          </w:tcPr>
          <w:p w14:paraId="6C2DFBBF" w14:textId="14594CCC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Atendimentos a órgãos externos</w:t>
            </w:r>
            <w:r w:rsidR="3E5ECA21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14:paraId="3B1FBBB5" w14:textId="10A8FCB7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Quando solicitado, atender as solicitações de órgãos externos ta</w:t>
            </w:r>
            <w:r w:rsidR="5D48F515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como Tribunal de Contas do Estado de São Paulo (TCE/SP)</w:t>
            </w:r>
            <w:r w:rsidR="386B3A1B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08" w:rsidRPr="00973E08" w14:paraId="1235010E" w14:textId="77777777" w:rsidTr="064A27DC">
        <w:tc>
          <w:tcPr>
            <w:tcW w:w="481" w:type="dxa"/>
            <w:vAlign w:val="center"/>
          </w:tcPr>
          <w:p w14:paraId="45AEDFDB" w14:textId="77777777" w:rsidR="006B7C20" w:rsidRPr="00973E08" w:rsidRDefault="009017CB" w:rsidP="47794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7" w:type="dxa"/>
            <w:vAlign w:val="center"/>
          </w:tcPr>
          <w:p w14:paraId="74C30830" w14:textId="46E4FEC4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Execução de ações de prestação de contas</w:t>
            </w:r>
            <w:r w:rsidR="64F2E1E3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aos órgãos competentes</w:t>
            </w:r>
            <w:r w:rsidR="0632B685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14:paraId="791E15BE" w14:textId="06AD29E3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Cabe a realização de procedimentos administrativos para elaboração e acompanhamento de prestação de contas ao TCE-SP, FEHIDRO, Conselhos Deliberativo e Fiscal e CBH-SMT.</w:t>
            </w:r>
          </w:p>
        </w:tc>
      </w:tr>
      <w:tr w:rsidR="00973E08" w:rsidRPr="00973E08" w14:paraId="7FADB244" w14:textId="77777777" w:rsidTr="064A27DC">
        <w:tc>
          <w:tcPr>
            <w:tcW w:w="481" w:type="dxa"/>
            <w:vAlign w:val="center"/>
          </w:tcPr>
          <w:p w14:paraId="16762046" w14:textId="77777777" w:rsidR="006B7C20" w:rsidRPr="00973E08" w:rsidRDefault="009017CB" w:rsidP="47794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7" w:type="dxa"/>
            <w:vAlign w:val="center"/>
          </w:tcPr>
          <w:p w14:paraId="4CC0DB05" w14:textId="41F3D411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Realização de licitações para contratação de bens e serviços</w:t>
            </w:r>
            <w:r w:rsidR="7FDE5B51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14:paraId="1D9F347F" w14:textId="77777777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Em atendimento às demandas da diretoria, é necessário realizar o planejamento e a execução dos processos licitatórios respeitando as exigências legais.</w:t>
            </w:r>
          </w:p>
        </w:tc>
      </w:tr>
      <w:tr w:rsidR="148DFDA1" w14:paraId="6E8E1B51" w14:textId="77777777" w:rsidTr="064A27DC">
        <w:trPr>
          <w:trHeight w:val="300"/>
        </w:trPr>
        <w:tc>
          <w:tcPr>
            <w:tcW w:w="481" w:type="dxa"/>
            <w:vAlign w:val="center"/>
          </w:tcPr>
          <w:p w14:paraId="640D79E8" w14:textId="60B84A94" w:rsidR="412119FE" w:rsidRDefault="412119FE" w:rsidP="148DFD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7" w:type="dxa"/>
            <w:vAlign w:val="center"/>
          </w:tcPr>
          <w:p w14:paraId="1267ED34" w14:textId="28554BE2" w:rsidR="606B7E6B" w:rsidRDefault="606B7E6B" w:rsidP="148DFD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Realização de contratações via dispensa de licitação</w:t>
            </w:r>
            <w:r w:rsidR="3B694D0F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14:paraId="49BC8531" w14:textId="53081E1A" w:rsidR="606B7E6B" w:rsidRDefault="606B7E6B" w:rsidP="148DFD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Em atendimento às demandas da diretoria e do CBH-SMT, é necessário realizar a contratação de bens e serviços</w:t>
            </w:r>
            <w:r w:rsidR="23F7F087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E08" w:rsidRPr="00973E08" w14:paraId="1323ADA6" w14:textId="77777777" w:rsidTr="064A27DC">
        <w:tc>
          <w:tcPr>
            <w:tcW w:w="481" w:type="dxa"/>
            <w:vAlign w:val="center"/>
          </w:tcPr>
          <w:p w14:paraId="459CDB81" w14:textId="26079EA9" w:rsidR="006B7C20" w:rsidRPr="00973E08" w:rsidRDefault="412119FE" w:rsidP="47794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67" w:type="dxa"/>
            <w:vAlign w:val="center"/>
          </w:tcPr>
          <w:p w14:paraId="2D9DC6FF" w14:textId="4A606A9C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Gerenciamento de rotinas administrativas, de pessoal e patrimonial</w:t>
            </w:r>
            <w:r w:rsidR="6A29AF4F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14:paraId="18E7E407" w14:textId="77777777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Em atendimento às demandas da diretoria, é necessário gerenciar manutenção e conservação de bens patrimoniais, bem como, conferência e fechamento de folha de pagamento e demais rotinas administrativas.</w:t>
            </w:r>
          </w:p>
        </w:tc>
      </w:tr>
      <w:tr w:rsidR="00973E08" w:rsidRPr="00973E08" w14:paraId="5160C5D3" w14:textId="77777777" w:rsidTr="064A27DC">
        <w:tc>
          <w:tcPr>
            <w:tcW w:w="481" w:type="dxa"/>
            <w:vAlign w:val="center"/>
          </w:tcPr>
          <w:p w14:paraId="5DC96E88" w14:textId="648A6532" w:rsidR="235403D2" w:rsidRPr="00973E08" w:rsidRDefault="1122D9AE" w:rsidP="39CAA4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67" w:type="dxa"/>
            <w:vAlign w:val="center"/>
          </w:tcPr>
          <w:p w14:paraId="0E3E8F72" w14:textId="596F2237" w:rsidR="235403D2" w:rsidRPr="00973E08" w:rsidRDefault="235403D2" w:rsidP="39CAA4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Gerenciamento dos contratos da FABH-SMT</w:t>
            </w:r>
            <w:r w:rsidR="6A29AF4F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14:paraId="28F5E7B8" w14:textId="6394F2F8" w:rsidR="235403D2" w:rsidRPr="00973E08" w:rsidRDefault="235403D2" w:rsidP="39CAA4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Gestão dos contratos em andamento, tais como assessoria jurídica, assessoria contábil, assessoria de TI, locação de veículos, convênio médico dos funcionários, auxílio alimenta</w:t>
            </w:r>
            <w:r w:rsidR="61F8E903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ção dos funcionários, Banco do Brasil, serviço de telefonia e internet e CIEE.</w:t>
            </w:r>
          </w:p>
        </w:tc>
      </w:tr>
      <w:tr w:rsidR="00973E08" w:rsidRPr="00973E08" w14:paraId="66EDE220" w14:textId="77777777" w:rsidTr="064A27DC">
        <w:tc>
          <w:tcPr>
            <w:tcW w:w="481" w:type="dxa"/>
            <w:vAlign w:val="center"/>
          </w:tcPr>
          <w:p w14:paraId="5AC96942" w14:textId="34238B03" w:rsidR="006B7C20" w:rsidRPr="00973E08" w:rsidRDefault="0E2F7B76" w:rsidP="47794C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67" w:type="dxa"/>
          </w:tcPr>
          <w:p w14:paraId="7BD7EC67" w14:textId="74CFAB1E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Operacionalização da cobrança estadual paulista, envolvendo cadastro de usuários pagadores, cálculo da cobrança, registro de dados para emissão dos lotes de cobrança, acompanhamento e controle da inadimplência</w:t>
            </w:r>
            <w:r w:rsidR="0B6D2B99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vAlign w:val="center"/>
          </w:tcPr>
          <w:p w14:paraId="25952D0C" w14:textId="0F7EB3D6" w:rsidR="006B7C20" w:rsidRPr="00973E08" w:rsidRDefault="009017CB" w:rsidP="47794C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As rotinas da cobrança estadual paulista devem estar bem definidas e organizadas a fim de que os objetivos de boa gestão dos recursos financeiros, gestão dos usuários e controle da inadimplência sejam alcançados</w:t>
            </w:r>
            <w:r w:rsidR="2215A6EF"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3D8DEC90" w14:paraId="37F9A47F" w14:textId="77777777" w:rsidTr="064A27DC">
        <w:trPr>
          <w:trHeight w:val="300"/>
        </w:trPr>
        <w:tc>
          <w:tcPr>
            <w:tcW w:w="481" w:type="dxa"/>
            <w:vAlign w:val="center"/>
          </w:tcPr>
          <w:p w14:paraId="2BBAC663" w14:textId="6D460462" w:rsidR="3D8DEC90" w:rsidRDefault="45FCE2BF" w:rsidP="3D8DEC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67" w:type="dxa"/>
          </w:tcPr>
          <w:p w14:paraId="12BF2DE1" w14:textId="2032DD57" w:rsidR="3D8DEC90" w:rsidRDefault="5336B957" w:rsidP="3D8DE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Acompanhamento do processo de concurso público para a FABH-SMT.</w:t>
            </w:r>
          </w:p>
        </w:tc>
        <w:tc>
          <w:tcPr>
            <w:tcW w:w="5949" w:type="dxa"/>
            <w:vAlign w:val="center"/>
          </w:tcPr>
          <w:p w14:paraId="256B855D" w14:textId="2739B546" w:rsidR="3D8DEC90" w:rsidRDefault="6B56619B" w:rsidP="3D8DEC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A8E4D6">
              <w:rPr>
                <w:rFonts w:ascii="Times New Roman" w:eastAsia="Times New Roman" w:hAnsi="Times New Roman" w:cs="Times New Roman"/>
                <w:sz w:val="24"/>
                <w:szCs w:val="24"/>
              </w:rPr>
              <w:t>Aguardando autorização para iniciar a contratação de pessoal via concurso público para a FABH-SMT.</w:t>
            </w:r>
          </w:p>
        </w:tc>
      </w:tr>
      <w:tr w:rsidR="62E14757" w14:paraId="6CC705A2" w14:textId="77777777" w:rsidTr="62E14757">
        <w:trPr>
          <w:trHeight w:val="300"/>
        </w:trPr>
        <w:tc>
          <w:tcPr>
            <w:tcW w:w="481" w:type="dxa"/>
            <w:vAlign w:val="center"/>
          </w:tcPr>
          <w:p w14:paraId="08690310" w14:textId="54AE7C32" w:rsidR="62E14757" w:rsidRDefault="3458528C" w:rsidP="62E14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20E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67" w:type="dxa"/>
          </w:tcPr>
          <w:p w14:paraId="1000A895" w14:textId="724E01FC" w:rsidR="62E14757" w:rsidRDefault="3458528C" w:rsidP="62E14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F1B8E0">
              <w:rPr>
                <w:rFonts w:ascii="Times New Roman" w:eastAsia="Times New Roman" w:hAnsi="Times New Roman" w:cs="Times New Roman"/>
                <w:sz w:val="24"/>
                <w:szCs w:val="24"/>
              </w:rPr>
              <w:t>Pagamento de contas da FABH-</w:t>
            </w:r>
            <w:r w:rsidRPr="2D11E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SMT, tais como </w:t>
            </w:r>
            <w:r w:rsidRPr="52169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encargos trabalhistas, contratos </w:t>
            </w:r>
            <w:r w:rsidRPr="44FC6A6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684E8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consumo</w:t>
            </w:r>
            <w:r w:rsidRPr="66CA11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vAlign w:val="center"/>
          </w:tcPr>
          <w:p w14:paraId="5D0C270A" w14:textId="03EEEF77" w:rsidR="62E14757" w:rsidRDefault="3458528C" w:rsidP="62E1475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DD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Gerenciar semanalmente os pagamentos de </w:t>
            </w:r>
            <w:r w:rsidRPr="54CD3296"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responsabilidade da FABH-</w:t>
            </w:r>
            <w:r w:rsidRPr="1C44A32D">
              <w:rPr>
                <w:rFonts w:ascii="Times New Roman" w:eastAsia="Times New Roman" w:hAnsi="Times New Roman" w:cs="Times New Roman"/>
                <w:sz w:val="24"/>
                <w:szCs w:val="24"/>
              </w:rPr>
              <w:t>SMT.</w:t>
            </w:r>
          </w:p>
        </w:tc>
      </w:tr>
      <w:tr w:rsidR="5D49D34A" w14:paraId="60954F69" w14:textId="77777777" w:rsidTr="5D49D34A">
        <w:trPr>
          <w:trHeight w:val="300"/>
        </w:trPr>
        <w:tc>
          <w:tcPr>
            <w:tcW w:w="481" w:type="dxa"/>
            <w:vAlign w:val="center"/>
          </w:tcPr>
          <w:p w14:paraId="7F5D8E4F" w14:textId="6707C6FE" w:rsidR="5D49D34A" w:rsidRDefault="70C53AF3" w:rsidP="5D49D3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381B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767" w:type="dxa"/>
          </w:tcPr>
          <w:p w14:paraId="1423504E" w14:textId="7789D382" w:rsidR="5D49D34A" w:rsidRDefault="70C53AF3" w:rsidP="5D49D3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81B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Atendimento aos usuários da cobrança pelo uso dos recursos </w:t>
            </w:r>
            <w:r w:rsidRPr="767660B2">
              <w:rPr>
                <w:rFonts w:ascii="Times New Roman" w:eastAsia="Times New Roman" w:hAnsi="Times New Roman" w:cs="Times New Roman"/>
                <w:sz w:val="24"/>
                <w:szCs w:val="24"/>
              </w:rPr>
              <w:t>hídricos</w:t>
            </w:r>
            <w:r w:rsidRPr="3CBF62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vAlign w:val="center"/>
          </w:tcPr>
          <w:p w14:paraId="3C1F431B" w14:textId="2B23F6FA" w:rsidR="5D49D34A" w:rsidRDefault="70C53AF3" w:rsidP="5D49D3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D5A4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Envio de boletos, demonstrativos de consumo, renegociações </w:t>
            </w:r>
            <w:r w:rsidRPr="14ECB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Pr="417A430B">
              <w:rPr>
                <w:rFonts w:ascii="Times New Roman" w:eastAsia="Times New Roman" w:hAnsi="Times New Roman" w:cs="Times New Roman"/>
                <w:sz w:val="24"/>
                <w:szCs w:val="24"/>
              </w:rPr>
              <w:t>débitos</w:t>
            </w:r>
            <w:r w:rsidRPr="14ECB3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53CC8AEA" w14:paraId="11A6BAEA" w14:textId="77777777" w:rsidTr="53CC8AEA">
        <w:trPr>
          <w:trHeight w:val="300"/>
        </w:trPr>
        <w:tc>
          <w:tcPr>
            <w:tcW w:w="481" w:type="dxa"/>
            <w:vAlign w:val="center"/>
          </w:tcPr>
          <w:p w14:paraId="17171223" w14:textId="27752E34" w:rsidR="70C53AF3" w:rsidRDefault="70C53AF3" w:rsidP="53CC8A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3CC8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767" w:type="dxa"/>
          </w:tcPr>
          <w:p w14:paraId="761171FE" w14:textId="1A8DE018" w:rsidR="70C53AF3" w:rsidRDefault="70C53AF3" w:rsidP="53CC8A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879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Suporte às empresas </w:t>
            </w:r>
            <w:r w:rsidRPr="35CDBB4F">
              <w:rPr>
                <w:rFonts w:ascii="Times New Roman" w:eastAsia="Times New Roman" w:hAnsi="Times New Roman" w:cs="Times New Roman"/>
                <w:sz w:val="24"/>
                <w:szCs w:val="24"/>
              </w:rPr>
              <w:t>contratadas</w:t>
            </w:r>
            <w:r w:rsidRPr="744850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vAlign w:val="center"/>
          </w:tcPr>
          <w:p w14:paraId="35CF0660" w14:textId="5A71C30C" w:rsidR="53CC8AEA" w:rsidRDefault="70C53AF3" w:rsidP="53CC8AE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423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Envio de informações e atendimento ao </w:t>
            </w:r>
            <w:r w:rsidRPr="66D1C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escritório jurídico, ao escritório </w:t>
            </w:r>
            <w:r w:rsidRPr="71B8E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contábil e à </w:t>
            </w:r>
            <w:r w:rsidRPr="19A8C298">
              <w:rPr>
                <w:rFonts w:ascii="Times New Roman" w:eastAsia="Times New Roman" w:hAnsi="Times New Roman" w:cs="Times New Roman"/>
                <w:sz w:val="24"/>
                <w:szCs w:val="24"/>
              </w:rPr>
              <w:t>assessoria</w:t>
            </w:r>
            <w:r w:rsidRPr="71B8E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tecnologia</w:t>
            </w:r>
            <w:r w:rsidRPr="445F0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informação</w:t>
            </w:r>
            <w:r w:rsidRPr="7EE38C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3CBF62CD" w14:paraId="5472723C" w14:textId="77777777" w:rsidTr="3CBF62CD">
        <w:trPr>
          <w:trHeight w:val="300"/>
        </w:trPr>
        <w:tc>
          <w:tcPr>
            <w:tcW w:w="481" w:type="dxa"/>
            <w:vAlign w:val="center"/>
          </w:tcPr>
          <w:p w14:paraId="74A7F479" w14:textId="36AC9921" w:rsidR="3CBF62CD" w:rsidRDefault="70C53AF3" w:rsidP="3CBF62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DF99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767" w:type="dxa"/>
          </w:tcPr>
          <w:p w14:paraId="2F3830FA" w14:textId="5D8E341E" w:rsidR="3CBF62CD" w:rsidRDefault="70C53AF3" w:rsidP="3CBF62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DF99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Prestação de contas financeira </w:t>
            </w:r>
            <w:r w:rsidRPr="1B4492F9">
              <w:rPr>
                <w:rFonts w:ascii="Times New Roman" w:eastAsia="Times New Roman" w:hAnsi="Times New Roman" w:cs="Times New Roman"/>
                <w:sz w:val="24"/>
                <w:szCs w:val="24"/>
              </w:rPr>
              <w:t>aos projetos FEHIDRO.</w:t>
            </w:r>
          </w:p>
        </w:tc>
        <w:tc>
          <w:tcPr>
            <w:tcW w:w="5949" w:type="dxa"/>
            <w:vAlign w:val="center"/>
          </w:tcPr>
          <w:p w14:paraId="08459320" w14:textId="1DFBC0B6" w:rsidR="3CBF62CD" w:rsidRDefault="70C53AF3" w:rsidP="3CBF62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D2FE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Elaboração de </w:t>
            </w:r>
            <w:r w:rsidRPr="22461488">
              <w:rPr>
                <w:rFonts w:ascii="Times New Roman" w:eastAsia="Times New Roman" w:hAnsi="Times New Roman" w:cs="Times New Roman"/>
                <w:sz w:val="24"/>
                <w:szCs w:val="24"/>
              </w:rPr>
              <w:t>prestação de contas</w:t>
            </w:r>
            <w:r w:rsidRPr="20BF1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 projetos FEHIDRO </w:t>
            </w:r>
            <w:r w:rsidRPr="484545FB">
              <w:rPr>
                <w:rFonts w:ascii="Times New Roman" w:eastAsia="Times New Roman" w:hAnsi="Times New Roman" w:cs="Times New Roman"/>
                <w:sz w:val="24"/>
                <w:szCs w:val="24"/>
              </w:rPr>
              <w:t>que a FABH-SMT é tomadora de recurso.</w:t>
            </w:r>
          </w:p>
        </w:tc>
      </w:tr>
      <w:tr w:rsidR="2DAA40BE" w14:paraId="72047E77" w14:textId="77777777" w:rsidTr="3F7791F2">
        <w:trPr>
          <w:trHeight w:val="300"/>
        </w:trPr>
        <w:tc>
          <w:tcPr>
            <w:tcW w:w="481" w:type="dxa"/>
            <w:vAlign w:val="center"/>
          </w:tcPr>
          <w:p w14:paraId="27B084CF" w14:textId="20B75B18" w:rsidR="2DAA40BE" w:rsidRDefault="61F12CE4" w:rsidP="2DAA40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63EA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67" w:type="dxa"/>
          </w:tcPr>
          <w:p w14:paraId="7D04E4BC" w14:textId="77777777" w:rsidR="363EA909" w:rsidRPr="363EA909" w:rsidRDefault="363EA909" w:rsidP="363EA9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3EA909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Acompanhamento do Acordo de Cooperação Técnica entre FABH-SMT e Agência PCJ</w:t>
            </w:r>
          </w:p>
        </w:tc>
        <w:tc>
          <w:tcPr>
            <w:tcW w:w="5949" w:type="dxa"/>
            <w:vAlign w:val="center"/>
          </w:tcPr>
          <w:p w14:paraId="3D710AE3" w14:textId="600F2488" w:rsidR="363EA909" w:rsidRPr="363EA909" w:rsidRDefault="363EA909" w:rsidP="363EA9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3EA909">
              <w:rPr>
                <w:rFonts w:ascii="Times New Roman" w:eastAsia="Times New Roman" w:hAnsi="Times New Roman" w:cs="Times New Roman"/>
                <w:sz w:val="24"/>
                <w:szCs w:val="24"/>
              </w:rPr>
              <w:t>Troca de informações e fortalecimento das entidades para aprimoramento de procedimentos operacionais. A ação também pode ser considerada um desdobramento do Plano de Ações Coletivas e Solidárias dos Comitês de Bacias Hidrográficas da Bacia do Rio Tietê.</w:t>
            </w:r>
          </w:p>
        </w:tc>
      </w:tr>
      <w:tr w:rsidR="363EA909" w14:paraId="36106C79" w14:textId="77777777" w:rsidTr="3EB91EAE">
        <w:trPr>
          <w:trHeight w:val="1106"/>
        </w:trPr>
        <w:tc>
          <w:tcPr>
            <w:tcW w:w="481" w:type="dxa"/>
            <w:vAlign w:val="center"/>
          </w:tcPr>
          <w:p w14:paraId="68EC19B7" w14:textId="5DE0BEA5" w:rsidR="09685531" w:rsidRDefault="09685531" w:rsidP="363EA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63EA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767" w:type="dxa"/>
          </w:tcPr>
          <w:p w14:paraId="1E83EE84" w14:textId="2533ED13" w:rsidR="3272E102" w:rsidRDefault="3272E102" w:rsidP="363EA9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779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Acompanhamento </w:t>
            </w:r>
            <w:r w:rsidRPr="71C49AF4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="3AB83CA0" w:rsidRPr="71C49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Grupo </w:t>
            </w:r>
            <w:r w:rsidR="3AB83CA0" w:rsidRPr="25B65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="09685531" w:rsidRPr="25B65DFD">
              <w:rPr>
                <w:rFonts w:ascii="Times New Roman" w:eastAsia="Times New Roman" w:hAnsi="Times New Roman" w:cs="Times New Roman"/>
                <w:sz w:val="24"/>
                <w:szCs w:val="24"/>
              </w:rPr>
              <w:t>Comitês</w:t>
            </w:r>
            <w:r w:rsidR="09685531" w:rsidRPr="3F779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Bacias Hidrográficas da Bacia do Rio Tietê</w:t>
            </w:r>
            <w:r w:rsidR="12194B32" w:rsidRPr="71C49A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vAlign w:val="center"/>
          </w:tcPr>
          <w:p w14:paraId="2A79EE75" w14:textId="56C88658" w:rsidR="363EA909" w:rsidRDefault="64AC7405" w:rsidP="363EA9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3EA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Participação nos Grupos de Trabalho </w:t>
            </w:r>
            <w:r w:rsidRPr="5E884410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="4E73D0C6" w:rsidRPr="5E884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Grupo de </w:t>
            </w:r>
            <w:r w:rsidRPr="5E884410">
              <w:rPr>
                <w:rFonts w:ascii="Times New Roman" w:eastAsia="Times New Roman" w:hAnsi="Times New Roman" w:cs="Times New Roman"/>
                <w:sz w:val="24"/>
                <w:szCs w:val="24"/>
              </w:rPr>
              <w:t>Comitês</w:t>
            </w:r>
            <w:r w:rsidRPr="363EA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Bacias Hidrográficas da Bacia do Rio Tietê, tais como GT-Agências e GT-Comunicação.</w:t>
            </w:r>
          </w:p>
        </w:tc>
      </w:tr>
      <w:tr w:rsidR="6D5C927D" w14:paraId="6B5F2E0C" w14:textId="77777777" w:rsidTr="12EC230B">
        <w:trPr>
          <w:trHeight w:val="1106"/>
        </w:trPr>
        <w:tc>
          <w:tcPr>
            <w:tcW w:w="481" w:type="dxa"/>
            <w:vAlign w:val="center"/>
          </w:tcPr>
          <w:p w14:paraId="199A0597" w14:textId="0F7C55D1" w:rsidR="594DDE49" w:rsidRDefault="594DDE49" w:rsidP="6D5C9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D5C9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767" w:type="dxa"/>
          </w:tcPr>
          <w:p w14:paraId="78823487" w14:textId="4D65CD8E" w:rsidR="594DDE49" w:rsidRDefault="594DDE49" w:rsidP="6D5C92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5C927D">
              <w:rPr>
                <w:rFonts w:ascii="Times New Roman" w:eastAsia="Times New Roman" w:hAnsi="Times New Roman" w:cs="Times New Roman"/>
                <w:sz w:val="24"/>
                <w:szCs w:val="24"/>
              </w:rPr>
              <w:t>Suporte às reuniões dos Conselhos Deliberativo e Fiscal da FABH-SMT.</w:t>
            </w:r>
          </w:p>
        </w:tc>
        <w:tc>
          <w:tcPr>
            <w:tcW w:w="5949" w:type="dxa"/>
            <w:vAlign w:val="center"/>
          </w:tcPr>
          <w:p w14:paraId="4792482A" w14:textId="11566C8E" w:rsidR="594DDE49" w:rsidRDefault="594DDE49" w:rsidP="6D5C92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D5C927D">
              <w:rPr>
                <w:rFonts w:ascii="Times New Roman" w:eastAsia="Times New Roman" w:hAnsi="Times New Roman" w:cs="Times New Roman"/>
                <w:sz w:val="24"/>
                <w:szCs w:val="24"/>
              </w:rPr>
              <w:t>Suporte na elaboração e envio de documentos, apresentação dos itens de pauta nas reuniões e esclarecimento de informações.</w:t>
            </w:r>
          </w:p>
        </w:tc>
      </w:tr>
      <w:tr w:rsidR="12EC230B" w14:paraId="52A083FE" w14:textId="77777777" w:rsidTr="12EC230B">
        <w:trPr>
          <w:trHeight w:val="1106"/>
        </w:trPr>
        <w:tc>
          <w:tcPr>
            <w:tcW w:w="481" w:type="dxa"/>
            <w:vAlign w:val="center"/>
          </w:tcPr>
          <w:p w14:paraId="054A1F46" w14:textId="0BB8FB08" w:rsidR="338EAE6F" w:rsidRDefault="338EAE6F" w:rsidP="12EC23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2EC2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767" w:type="dxa"/>
          </w:tcPr>
          <w:p w14:paraId="4789C385" w14:textId="117A14ED" w:rsidR="338EAE6F" w:rsidRDefault="338EAE6F" w:rsidP="12EC23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EC230B">
              <w:rPr>
                <w:rFonts w:ascii="Times New Roman" w:eastAsia="Times New Roman" w:hAnsi="Times New Roman" w:cs="Times New Roman"/>
                <w:sz w:val="24"/>
                <w:szCs w:val="24"/>
              </w:rPr>
              <w:t>Elaboração do Plano de Aplicação Anual</w:t>
            </w:r>
            <w:r w:rsidR="789A2A04" w:rsidRPr="12EC23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vAlign w:val="center"/>
          </w:tcPr>
          <w:p w14:paraId="688E1BA9" w14:textId="4D52E086" w:rsidR="338EAE6F" w:rsidRDefault="338EAE6F" w:rsidP="12EC23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EC230B">
              <w:rPr>
                <w:rFonts w:ascii="Times New Roman" w:eastAsia="Times New Roman" w:hAnsi="Times New Roman" w:cs="Times New Roman"/>
                <w:sz w:val="24"/>
                <w:szCs w:val="24"/>
              </w:rPr>
              <w:t>Elaboração do Plano de Aplicação Anual</w:t>
            </w:r>
            <w:r w:rsidR="405BDB37" w:rsidRPr="12EC230B">
              <w:rPr>
                <w:rFonts w:ascii="Times New Roman" w:eastAsia="Times New Roman" w:hAnsi="Times New Roman" w:cs="Times New Roman"/>
                <w:sz w:val="24"/>
                <w:szCs w:val="24"/>
              </w:rPr>
              <w:t>, em parceria com a Secretaria Executiva do CBH-SMT</w:t>
            </w:r>
            <w:r w:rsidRPr="12EC2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8055BFE" w:rsidRPr="12EC2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Diretoria Técnica da FABH-SMT, </w:t>
            </w:r>
            <w:r w:rsidRPr="12EC230B">
              <w:rPr>
                <w:rFonts w:ascii="Times New Roman" w:eastAsia="Times New Roman" w:hAnsi="Times New Roman" w:cs="Times New Roman"/>
                <w:sz w:val="24"/>
                <w:szCs w:val="24"/>
              </w:rPr>
              <w:t>dos recursos arrecadados pela cobrança pelo uso dos recursos hídricos, bem como o rendimento da aplicação e o saldo res</w:t>
            </w:r>
            <w:r w:rsidR="12E12108" w:rsidRPr="12EC230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12EC230B">
              <w:rPr>
                <w:rFonts w:ascii="Times New Roman" w:eastAsia="Times New Roman" w:hAnsi="Times New Roman" w:cs="Times New Roman"/>
                <w:sz w:val="24"/>
                <w:szCs w:val="24"/>
              </w:rPr>
              <w:t>dual do exercício anterior.</w:t>
            </w:r>
          </w:p>
        </w:tc>
      </w:tr>
    </w:tbl>
    <w:p w14:paraId="6858BEC7" w14:textId="7663C47F" w:rsidR="47794C15" w:rsidRDefault="47794C15">
      <w:pPr>
        <w:rPr>
          <w:rFonts w:ascii="Times New Roman" w:eastAsia="Times New Roman" w:hAnsi="Times New Roman" w:cs="Times New Roman"/>
        </w:rPr>
      </w:pPr>
    </w:p>
    <w:p w14:paraId="1F29501F" w14:textId="23C722BD" w:rsidR="006B7C20" w:rsidRDefault="006B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9FF4F0" w14:textId="769F74DB" w:rsidR="008F7B4C" w:rsidRDefault="008F7B4C" w:rsidP="39CAA4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9F8">
        <w:rPr>
          <w:rFonts w:ascii="Times New Roman" w:eastAsia="Times New Roman" w:hAnsi="Times New Roman" w:cs="Times New Roman"/>
          <w:sz w:val="24"/>
          <w:szCs w:val="24"/>
        </w:rPr>
        <w:t xml:space="preserve">Sorocaba, </w:t>
      </w:r>
      <w:r w:rsidR="00B53784" w:rsidRPr="00F649F8">
        <w:rPr>
          <w:rFonts w:ascii="Times New Roman" w:eastAsia="Times New Roman" w:hAnsi="Times New Roman" w:cs="Times New Roman"/>
          <w:sz w:val="24"/>
          <w:szCs w:val="24"/>
          <w:highlight w:val="yellow"/>
        </w:rPr>
        <w:t>14</w:t>
      </w:r>
      <w:r w:rsidR="49EB25D9" w:rsidRPr="00F64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9F8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973E08" w:rsidRPr="00F649F8">
        <w:rPr>
          <w:rFonts w:ascii="Times New Roman" w:eastAsia="Times New Roman" w:hAnsi="Times New Roman" w:cs="Times New Roman"/>
          <w:sz w:val="24"/>
          <w:szCs w:val="24"/>
        </w:rPr>
        <w:t>novembro</w:t>
      </w:r>
      <w:r w:rsidR="1C706BAA" w:rsidRPr="00F64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9F8"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973E08" w:rsidRPr="00F649F8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2D89CF5D" w14:textId="7398FF0E" w:rsidR="008F7B4C" w:rsidRPr="008F7B4C" w:rsidRDefault="008F7B4C" w:rsidP="44CB7F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F7B4C" w:rsidRPr="008F7B4C" w:rsidSect="00F3102B">
          <w:pgSz w:w="11906" w:h="16838"/>
          <w:pgMar w:top="1701" w:right="707" w:bottom="851" w:left="992" w:header="709" w:footer="341" w:gutter="0"/>
          <w:cols w:space="720"/>
        </w:sectPr>
      </w:pPr>
      <w:r w:rsidRPr="00F649F8">
        <w:rPr>
          <w:rFonts w:ascii="Times New Roman" w:eastAsia="Times New Roman" w:hAnsi="Times New Roman" w:cs="Times New Roman"/>
          <w:sz w:val="24"/>
          <w:szCs w:val="24"/>
        </w:rPr>
        <w:t>Fundação Agência da Bacia Hidrográfica do rio Sorocaba e Médio Tietê</w:t>
      </w:r>
    </w:p>
    <w:p w14:paraId="7C1E60B8" w14:textId="1FD30E8F" w:rsidR="44CB7F2F" w:rsidRDefault="44CB7F2F"/>
    <w:sectPr w:rsidR="44CB7F2F" w:rsidSect="00F3102B">
      <w:type w:val="continuous"/>
      <w:pgSz w:w="11906" w:h="16838"/>
      <w:pgMar w:top="1701" w:right="707" w:bottom="1134" w:left="992" w:header="709" w:footer="414" w:gutter="0"/>
      <w:cols w:num="3" w:space="720" w:equalWidth="0">
        <w:col w:w="2930" w:space="708"/>
        <w:col w:w="2930" w:space="708"/>
        <w:col w:w="29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A4F4" w14:textId="77777777" w:rsidR="001C16D5" w:rsidRDefault="001C16D5">
      <w:pPr>
        <w:spacing w:after="0" w:line="240" w:lineRule="auto"/>
      </w:pPr>
      <w:r>
        <w:separator/>
      </w:r>
    </w:p>
  </w:endnote>
  <w:endnote w:type="continuationSeparator" w:id="0">
    <w:p w14:paraId="4FCB1664" w14:textId="77777777" w:rsidR="001C16D5" w:rsidRDefault="001C16D5">
      <w:pPr>
        <w:spacing w:after="0" w:line="240" w:lineRule="auto"/>
      </w:pPr>
      <w:r>
        <w:continuationSeparator/>
      </w:r>
    </w:p>
  </w:endnote>
  <w:endnote w:type="continuationNotice" w:id="1">
    <w:p w14:paraId="176C72DD" w14:textId="77777777" w:rsidR="00A21BFA" w:rsidRDefault="00A21B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Fashion BT">
    <w:altName w:val="Courier New"/>
    <w:charset w:val="00"/>
    <w:family w:val="decorative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3168" w14:textId="77777777" w:rsidR="006B7C20" w:rsidRPr="00F3102B" w:rsidRDefault="009017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F3102B">
      <w:rPr>
        <w:rFonts w:ascii="Times New Roman" w:eastAsia="Times New Roman" w:hAnsi="Times New Roman" w:cs="Times New Roman"/>
        <w:color w:val="000000"/>
        <w:sz w:val="18"/>
        <w:szCs w:val="18"/>
      </w:rPr>
      <w:t xml:space="preserve">Página </w:t>
    </w:r>
    <w:r w:rsidRPr="00F3102B"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 w:rsidRPr="00F3102B"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 w:rsidRPr="00F3102B"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2E5FD7" w:rsidRPr="00F3102B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 w:rsidRPr="00F3102B"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 w:rsidRPr="00F3102B">
      <w:rPr>
        <w:rFonts w:ascii="Times New Roman" w:eastAsia="Times New Roman" w:hAnsi="Times New Roman" w:cs="Times New Roman"/>
        <w:color w:val="000000"/>
        <w:sz w:val="18"/>
        <w:szCs w:val="18"/>
      </w:rPr>
      <w:t xml:space="preserve"> de </w:t>
    </w:r>
    <w:r w:rsidRPr="00F3102B"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 w:rsidRPr="00F3102B"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 w:rsidRPr="00F3102B"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2E5FD7" w:rsidRPr="00F3102B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2</w:t>
    </w:r>
    <w:r w:rsidRPr="00F3102B"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</w:p>
  <w:p w14:paraId="01714B29" w14:textId="77777777" w:rsidR="006B7C20" w:rsidRDefault="006B7C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7A35" w14:textId="77777777" w:rsidR="001C16D5" w:rsidRDefault="001C16D5">
      <w:pPr>
        <w:spacing w:after="0" w:line="240" w:lineRule="auto"/>
      </w:pPr>
      <w:r>
        <w:separator/>
      </w:r>
    </w:p>
  </w:footnote>
  <w:footnote w:type="continuationSeparator" w:id="0">
    <w:p w14:paraId="4AD476F4" w14:textId="77777777" w:rsidR="001C16D5" w:rsidRDefault="001C16D5">
      <w:pPr>
        <w:spacing w:after="0" w:line="240" w:lineRule="auto"/>
      </w:pPr>
      <w:r>
        <w:continuationSeparator/>
      </w:r>
    </w:p>
  </w:footnote>
  <w:footnote w:type="continuationNotice" w:id="1">
    <w:p w14:paraId="7AC8654E" w14:textId="77777777" w:rsidR="00A21BFA" w:rsidRDefault="00A21B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15A1" w14:textId="77777777" w:rsidR="006B7C20" w:rsidRDefault="00F052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0EB88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81.4pt;height:448.6pt;z-index:-251658238;mso-wrap-edited:f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3DDC" w14:textId="77777777" w:rsidR="006B7C20" w:rsidRDefault="006B7C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W w:w="10245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184"/>
      <w:gridCol w:w="8061"/>
    </w:tblGrid>
    <w:tr w:rsidR="006B7C20" w14:paraId="7506AEDB" w14:textId="77777777">
      <w:trPr>
        <w:trHeight w:val="1762"/>
        <w:jc w:val="center"/>
      </w:trPr>
      <w:tc>
        <w:tcPr>
          <w:tcW w:w="2184" w:type="dxa"/>
        </w:tcPr>
        <w:p w14:paraId="17A4D899" w14:textId="77777777" w:rsidR="006B7C20" w:rsidRDefault="0090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30"/>
              <w:szCs w:val="30"/>
            </w:rPr>
          </w:pPr>
          <w:r>
            <w:rPr>
              <w:rFonts w:ascii="Arial" w:eastAsia="Arial" w:hAnsi="Arial" w:cs="Arial"/>
              <w:noProof/>
              <w:color w:val="000000"/>
              <w:sz w:val="30"/>
              <w:szCs w:val="30"/>
            </w:rPr>
            <w:drawing>
              <wp:inline distT="0" distB="0" distL="0" distR="0" wp14:anchorId="36F2BB0F" wp14:editId="18FEF8EE">
                <wp:extent cx="1086695" cy="1012705"/>
                <wp:effectExtent l="0" t="0" r="0" b="0"/>
                <wp:docPr id="12" name="Imagem 12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tipo, nome da empres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695" cy="10127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1" w:type="dxa"/>
        </w:tcPr>
        <w:p w14:paraId="2A16177C" w14:textId="77777777" w:rsidR="006B7C20" w:rsidRDefault="006B7C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color w:val="000000"/>
              <w:sz w:val="30"/>
              <w:szCs w:val="30"/>
            </w:rPr>
          </w:pPr>
        </w:p>
        <w:p w14:paraId="2C8FC8D7" w14:textId="77777777" w:rsidR="006B7C20" w:rsidRDefault="0090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hardFashion BT" w:eastAsia="BernhardFashion BT" w:hAnsi="BernhardFashion BT" w:cs="BernhardFashion BT"/>
              <w:b/>
              <w:color w:val="000000"/>
            </w:rPr>
          </w:pPr>
          <w:r>
            <w:rPr>
              <w:rFonts w:ascii="BernhardFashion BT" w:eastAsia="BernhardFashion BT" w:hAnsi="BernhardFashion BT" w:cs="BernhardFashion BT"/>
              <w:b/>
              <w:color w:val="000000"/>
              <w:sz w:val="24"/>
              <w:szCs w:val="24"/>
            </w:rPr>
            <w:t xml:space="preserve">Fundação Agência da Bacia Hidrográfica do Rio Sorocaba e Médio Tietê – FABH-SMT - </w:t>
          </w:r>
          <w:r>
            <w:rPr>
              <w:rFonts w:ascii="BernhardFashion BT" w:eastAsia="BernhardFashion BT" w:hAnsi="BernhardFashion BT" w:cs="BernhardFashion BT"/>
              <w:b/>
              <w:color w:val="000000"/>
            </w:rPr>
            <w:t>CNPJ: 05.652.983/0001-64</w:t>
          </w:r>
        </w:p>
        <w:p w14:paraId="23189CF3" w14:textId="77777777" w:rsidR="006B7C20" w:rsidRDefault="006B7C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</w:p>
        <w:p w14:paraId="0249DCA4" w14:textId="77777777" w:rsidR="006B7C20" w:rsidRDefault="0090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182"/>
            <w:jc w:val="center"/>
            <w:rPr>
              <w:rFonts w:ascii="BernhardFashion BT" w:eastAsia="BernhardFashion BT" w:hAnsi="BernhardFashion BT" w:cs="BernhardFashion BT"/>
              <w:color w:val="000000"/>
              <w:sz w:val="18"/>
              <w:szCs w:val="18"/>
            </w:rPr>
          </w:pPr>
          <w:r>
            <w:rPr>
              <w:rFonts w:ascii="BernhardFashion BT" w:eastAsia="BernhardFashion BT" w:hAnsi="BernhardFashion BT" w:cs="BernhardFashion BT"/>
              <w:color w:val="000000"/>
              <w:sz w:val="18"/>
              <w:szCs w:val="18"/>
            </w:rPr>
            <w:t>Rua Epitácio Pessoa, n° 269 - Além Ponte – Sorocaba/SP - 18013-190</w:t>
          </w:r>
        </w:p>
        <w:p w14:paraId="66A22231" w14:textId="77777777" w:rsidR="006B7C20" w:rsidRDefault="009017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BernhardFashion BT" w:eastAsia="BernhardFashion BT" w:hAnsi="BernhardFashion BT" w:cs="BernhardFashion BT"/>
              <w:b/>
              <w:color w:val="000000"/>
              <w:sz w:val="24"/>
              <w:szCs w:val="24"/>
            </w:rPr>
          </w:pPr>
          <w:r>
            <w:rPr>
              <w:rFonts w:ascii="BernhardFashion BT" w:eastAsia="BernhardFashion BT" w:hAnsi="BernhardFashion BT" w:cs="BernhardFashion BT"/>
              <w:color w:val="000000"/>
              <w:sz w:val="20"/>
              <w:szCs w:val="20"/>
            </w:rPr>
            <w:t>(15) 3237-7060</w:t>
          </w:r>
        </w:p>
      </w:tc>
    </w:tr>
  </w:tbl>
  <w:p w14:paraId="1C6EFE79" w14:textId="77777777" w:rsidR="006B7C20" w:rsidRDefault="00F052C9">
    <w:pPr>
      <w:spacing w:after="40"/>
    </w:pPr>
    <w:r>
      <w:pict w14:anchorId="08A08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0;margin-top:0;width:481.4pt;height:448.6pt;z-index:-251658240;mso-wrap-edited:f;mso-position-horizontal:center;mso-position-horizontal-relative:margin;mso-position-vertical:center;mso-position-vertical-relative:margin">
          <v:imagedata r:id="rId2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C780" w14:textId="77777777" w:rsidR="006B7C20" w:rsidRDefault="00F052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203E5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481.4pt;height:448.6pt;z-index:-251658239;mso-wrap-edited:f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20"/>
    <w:rsid w:val="00011432"/>
    <w:rsid w:val="00020B97"/>
    <w:rsid w:val="00024FED"/>
    <w:rsid w:val="0005D4B3"/>
    <w:rsid w:val="0006242F"/>
    <w:rsid w:val="00062BE0"/>
    <w:rsid w:val="00084AF0"/>
    <w:rsid w:val="000A14B4"/>
    <w:rsid w:val="000A2216"/>
    <w:rsid w:val="000A38B2"/>
    <w:rsid w:val="000A3AC1"/>
    <w:rsid w:val="000D0E79"/>
    <w:rsid w:val="000D534B"/>
    <w:rsid w:val="00101BE1"/>
    <w:rsid w:val="00111100"/>
    <w:rsid w:val="00115608"/>
    <w:rsid w:val="001214EB"/>
    <w:rsid w:val="00121A9C"/>
    <w:rsid w:val="001470E1"/>
    <w:rsid w:val="001527B8"/>
    <w:rsid w:val="00157458"/>
    <w:rsid w:val="00165A8A"/>
    <w:rsid w:val="001743E1"/>
    <w:rsid w:val="00176A91"/>
    <w:rsid w:val="00180499"/>
    <w:rsid w:val="00187DC3"/>
    <w:rsid w:val="00191389"/>
    <w:rsid w:val="001B5211"/>
    <w:rsid w:val="001C16D5"/>
    <w:rsid w:val="001F57B8"/>
    <w:rsid w:val="001F7648"/>
    <w:rsid w:val="00201D75"/>
    <w:rsid w:val="00217963"/>
    <w:rsid w:val="00217BB9"/>
    <w:rsid w:val="00237427"/>
    <w:rsid w:val="0024187F"/>
    <w:rsid w:val="00243044"/>
    <w:rsid w:val="00252862"/>
    <w:rsid w:val="0026758B"/>
    <w:rsid w:val="00274580"/>
    <w:rsid w:val="00283B25"/>
    <w:rsid w:val="00284F67"/>
    <w:rsid w:val="002876F5"/>
    <w:rsid w:val="0029362E"/>
    <w:rsid w:val="002938FE"/>
    <w:rsid w:val="002B2075"/>
    <w:rsid w:val="002B330C"/>
    <w:rsid w:val="002B404F"/>
    <w:rsid w:val="002C67DB"/>
    <w:rsid w:val="002D28D9"/>
    <w:rsid w:val="002D3199"/>
    <w:rsid w:val="002E40F5"/>
    <w:rsid w:val="002E5FD7"/>
    <w:rsid w:val="00307169"/>
    <w:rsid w:val="00307372"/>
    <w:rsid w:val="00307420"/>
    <w:rsid w:val="00320DF0"/>
    <w:rsid w:val="003364C2"/>
    <w:rsid w:val="00347352"/>
    <w:rsid w:val="00356D92"/>
    <w:rsid w:val="00367DC2"/>
    <w:rsid w:val="00381B7B"/>
    <w:rsid w:val="00394B14"/>
    <w:rsid w:val="003B108F"/>
    <w:rsid w:val="003B6D92"/>
    <w:rsid w:val="003D1C1A"/>
    <w:rsid w:val="003E3DAC"/>
    <w:rsid w:val="00404A44"/>
    <w:rsid w:val="004059E6"/>
    <w:rsid w:val="00410246"/>
    <w:rsid w:val="00414225"/>
    <w:rsid w:val="004207D2"/>
    <w:rsid w:val="0043131E"/>
    <w:rsid w:val="00477255"/>
    <w:rsid w:val="00495796"/>
    <w:rsid w:val="004A55F8"/>
    <w:rsid w:val="004A5687"/>
    <w:rsid w:val="004F4A3D"/>
    <w:rsid w:val="004F67A1"/>
    <w:rsid w:val="00513F7E"/>
    <w:rsid w:val="00524126"/>
    <w:rsid w:val="005245DF"/>
    <w:rsid w:val="00535C36"/>
    <w:rsid w:val="00541CAE"/>
    <w:rsid w:val="00544CC9"/>
    <w:rsid w:val="00550909"/>
    <w:rsid w:val="00556B54"/>
    <w:rsid w:val="005631E4"/>
    <w:rsid w:val="005703A5"/>
    <w:rsid w:val="00577B47"/>
    <w:rsid w:val="005849E8"/>
    <w:rsid w:val="00591B4A"/>
    <w:rsid w:val="005A27C5"/>
    <w:rsid w:val="005B23D6"/>
    <w:rsid w:val="005D55EF"/>
    <w:rsid w:val="005E3A2A"/>
    <w:rsid w:val="005E5D34"/>
    <w:rsid w:val="00614130"/>
    <w:rsid w:val="0062184E"/>
    <w:rsid w:val="006550ED"/>
    <w:rsid w:val="00666D45"/>
    <w:rsid w:val="00667D96"/>
    <w:rsid w:val="00686268"/>
    <w:rsid w:val="006968DB"/>
    <w:rsid w:val="006A220E"/>
    <w:rsid w:val="006A49B2"/>
    <w:rsid w:val="006B1A11"/>
    <w:rsid w:val="006B7C20"/>
    <w:rsid w:val="006E2C42"/>
    <w:rsid w:val="006F5B6E"/>
    <w:rsid w:val="00727129"/>
    <w:rsid w:val="007337CF"/>
    <w:rsid w:val="00736272"/>
    <w:rsid w:val="00740EA6"/>
    <w:rsid w:val="007525AE"/>
    <w:rsid w:val="007618FB"/>
    <w:rsid w:val="00787832"/>
    <w:rsid w:val="00795AED"/>
    <w:rsid w:val="00795F78"/>
    <w:rsid w:val="007A3394"/>
    <w:rsid w:val="007A716A"/>
    <w:rsid w:val="007D6056"/>
    <w:rsid w:val="007F7CAD"/>
    <w:rsid w:val="008058F3"/>
    <w:rsid w:val="00811515"/>
    <w:rsid w:val="008122C5"/>
    <w:rsid w:val="008261D8"/>
    <w:rsid w:val="008357A8"/>
    <w:rsid w:val="008634C1"/>
    <w:rsid w:val="00891184"/>
    <w:rsid w:val="0089126D"/>
    <w:rsid w:val="008A0979"/>
    <w:rsid w:val="008A6F86"/>
    <w:rsid w:val="008B4CA6"/>
    <w:rsid w:val="008D1AB4"/>
    <w:rsid w:val="008D736F"/>
    <w:rsid w:val="008E4858"/>
    <w:rsid w:val="008F3101"/>
    <w:rsid w:val="008F3794"/>
    <w:rsid w:val="008F7B4C"/>
    <w:rsid w:val="009017CB"/>
    <w:rsid w:val="00917EE1"/>
    <w:rsid w:val="00935140"/>
    <w:rsid w:val="00947FAA"/>
    <w:rsid w:val="0096767A"/>
    <w:rsid w:val="00971857"/>
    <w:rsid w:val="00973E08"/>
    <w:rsid w:val="0098403D"/>
    <w:rsid w:val="00987AE8"/>
    <w:rsid w:val="009949D9"/>
    <w:rsid w:val="009B42D4"/>
    <w:rsid w:val="009C3BB1"/>
    <w:rsid w:val="009C5C3C"/>
    <w:rsid w:val="009D0A12"/>
    <w:rsid w:val="009E799F"/>
    <w:rsid w:val="00A002B5"/>
    <w:rsid w:val="00A01AE7"/>
    <w:rsid w:val="00A01D0A"/>
    <w:rsid w:val="00A04264"/>
    <w:rsid w:val="00A125FA"/>
    <w:rsid w:val="00A21BFA"/>
    <w:rsid w:val="00A26535"/>
    <w:rsid w:val="00A274C4"/>
    <w:rsid w:val="00A355B0"/>
    <w:rsid w:val="00A43850"/>
    <w:rsid w:val="00A52693"/>
    <w:rsid w:val="00A578DD"/>
    <w:rsid w:val="00A67444"/>
    <w:rsid w:val="00A75412"/>
    <w:rsid w:val="00A77C54"/>
    <w:rsid w:val="00AA0CD2"/>
    <w:rsid w:val="00AB4D90"/>
    <w:rsid w:val="00AB5200"/>
    <w:rsid w:val="00AC4ADB"/>
    <w:rsid w:val="00AD5DD2"/>
    <w:rsid w:val="00AE0500"/>
    <w:rsid w:val="00AE46F2"/>
    <w:rsid w:val="00AF3834"/>
    <w:rsid w:val="00AF76EA"/>
    <w:rsid w:val="00B027D8"/>
    <w:rsid w:val="00B238FF"/>
    <w:rsid w:val="00B40FE8"/>
    <w:rsid w:val="00B45E12"/>
    <w:rsid w:val="00B5083C"/>
    <w:rsid w:val="00B53784"/>
    <w:rsid w:val="00B60279"/>
    <w:rsid w:val="00B60851"/>
    <w:rsid w:val="00B60B5C"/>
    <w:rsid w:val="00B60B8A"/>
    <w:rsid w:val="00B66898"/>
    <w:rsid w:val="00BA2747"/>
    <w:rsid w:val="00BC219F"/>
    <w:rsid w:val="00BC6C15"/>
    <w:rsid w:val="00BD5D68"/>
    <w:rsid w:val="00BE6C39"/>
    <w:rsid w:val="00C228A2"/>
    <w:rsid w:val="00C24E25"/>
    <w:rsid w:val="00C27953"/>
    <w:rsid w:val="00C30FED"/>
    <w:rsid w:val="00C35686"/>
    <w:rsid w:val="00C35AC8"/>
    <w:rsid w:val="00C4304F"/>
    <w:rsid w:val="00C634BD"/>
    <w:rsid w:val="00C658A2"/>
    <w:rsid w:val="00C83A68"/>
    <w:rsid w:val="00C955DA"/>
    <w:rsid w:val="00CB5A33"/>
    <w:rsid w:val="00CC457B"/>
    <w:rsid w:val="00CD0C30"/>
    <w:rsid w:val="00CD15BF"/>
    <w:rsid w:val="00CD6903"/>
    <w:rsid w:val="00CE2C0F"/>
    <w:rsid w:val="00CE3605"/>
    <w:rsid w:val="00CE7B42"/>
    <w:rsid w:val="00D24354"/>
    <w:rsid w:val="00D441CE"/>
    <w:rsid w:val="00D51918"/>
    <w:rsid w:val="00D64753"/>
    <w:rsid w:val="00D72C4B"/>
    <w:rsid w:val="00D7410C"/>
    <w:rsid w:val="00D772B3"/>
    <w:rsid w:val="00D90D68"/>
    <w:rsid w:val="00D91200"/>
    <w:rsid w:val="00D95490"/>
    <w:rsid w:val="00DA5C2E"/>
    <w:rsid w:val="00DB56C6"/>
    <w:rsid w:val="00DD2784"/>
    <w:rsid w:val="00E013CE"/>
    <w:rsid w:val="00E12158"/>
    <w:rsid w:val="00E141F0"/>
    <w:rsid w:val="00E14577"/>
    <w:rsid w:val="00E2615B"/>
    <w:rsid w:val="00E507FE"/>
    <w:rsid w:val="00E60412"/>
    <w:rsid w:val="00E84560"/>
    <w:rsid w:val="00E85C86"/>
    <w:rsid w:val="00E9572D"/>
    <w:rsid w:val="00EA4225"/>
    <w:rsid w:val="00EB1ABC"/>
    <w:rsid w:val="00ED00D9"/>
    <w:rsid w:val="00ED272A"/>
    <w:rsid w:val="00EE1E62"/>
    <w:rsid w:val="00F00425"/>
    <w:rsid w:val="00F052C9"/>
    <w:rsid w:val="00F151BB"/>
    <w:rsid w:val="00F3102B"/>
    <w:rsid w:val="00F57052"/>
    <w:rsid w:val="00F60A42"/>
    <w:rsid w:val="00F60FD3"/>
    <w:rsid w:val="00F649F8"/>
    <w:rsid w:val="00F64F4C"/>
    <w:rsid w:val="00F70B05"/>
    <w:rsid w:val="00F711EE"/>
    <w:rsid w:val="00F71FAF"/>
    <w:rsid w:val="00F7414D"/>
    <w:rsid w:val="00F7532E"/>
    <w:rsid w:val="00F76378"/>
    <w:rsid w:val="00F82CDE"/>
    <w:rsid w:val="00F83AAC"/>
    <w:rsid w:val="00FA4EF2"/>
    <w:rsid w:val="00FA566D"/>
    <w:rsid w:val="00FB2980"/>
    <w:rsid w:val="00FB4982"/>
    <w:rsid w:val="00FD16D5"/>
    <w:rsid w:val="00FE7F9E"/>
    <w:rsid w:val="00FF246A"/>
    <w:rsid w:val="00FF373A"/>
    <w:rsid w:val="00FF4CAA"/>
    <w:rsid w:val="0235E97B"/>
    <w:rsid w:val="02A8E4D6"/>
    <w:rsid w:val="0331A3C4"/>
    <w:rsid w:val="03B37246"/>
    <w:rsid w:val="04DD4E36"/>
    <w:rsid w:val="0632B685"/>
    <w:rsid w:val="064A27DC"/>
    <w:rsid w:val="07042B40"/>
    <w:rsid w:val="07A0052F"/>
    <w:rsid w:val="07E74EAC"/>
    <w:rsid w:val="08055BFE"/>
    <w:rsid w:val="08DAEA20"/>
    <w:rsid w:val="09685531"/>
    <w:rsid w:val="0A9BFD4E"/>
    <w:rsid w:val="0B6D2B99"/>
    <w:rsid w:val="0CC69EB2"/>
    <w:rsid w:val="0D2FE6C0"/>
    <w:rsid w:val="0E2F7B76"/>
    <w:rsid w:val="0F26EBAD"/>
    <w:rsid w:val="0F667C9E"/>
    <w:rsid w:val="0F869E69"/>
    <w:rsid w:val="1122D9AE"/>
    <w:rsid w:val="12194B32"/>
    <w:rsid w:val="127AB8DA"/>
    <w:rsid w:val="12E12108"/>
    <w:rsid w:val="12EC230B"/>
    <w:rsid w:val="140979BD"/>
    <w:rsid w:val="148DFDA1"/>
    <w:rsid w:val="14ECB36A"/>
    <w:rsid w:val="1562A1BB"/>
    <w:rsid w:val="158BD575"/>
    <w:rsid w:val="170F4A7B"/>
    <w:rsid w:val="19A8C298"/>
    <w:rsid w:val="1A1A8533"/>
    <w:rsid w:val="1B4492F9"/>
    <w:rsid w:val="1BDB1173"/>
    <w:rsid w:val="1C44A32D"/>
    <w:rsid w:val="1C706BAA"/>
    <w:rsid w:val="1E360466"/>
    <w:rsid w:val="20479D0E"/>
    <w:rsid w:val="20BF156B"/>
    <w:rsid w:val="21A722BC"/>
    <w:rsid w:val="2215A6EF"/>
    <w:rsid w:val="22461488"/>
    <w:rsid w:val="235403D2"/>
    <w:rsid w:val="23F7F087"/>
    <w:rsid w:val="24DE03A6"/>
    <w:rsid w:val="25B65DFD"/>
    <w:rsid w:val="2B10A068"/>
    <w:rsid w:val="2C5A169F"/>
    <w:rsid w:val="2D11E528"/>
    <w:rsid w:val="2DAA40BE"/>
    <w:rsid w:val="2DEEDD9E"/>
    <w:rsid w:val="2E47A9B2"/>
    <w:rsid w:val="2F4D71C5"/>
    <w:rsid w:val="31377B1E"/>
    <w:rsid w:val="323C64B7"/>
    <w:rsid w:val="3272E102"/>
    <w:rsid w:val="338EAE6F"/>
    <w:rsid w:val="339DE576"/>
    <w:rsid w:val="3458528C"/>
    <w:rsid w:val="354578CB"/>
    <w:rsid w:val="35B5900C"/>
    <w:rsid w:val="35CDBB4F"/>
    <w:rsid w:val="363EA909"/>
    <w:rsid w:val="365DD04B"/>
    <w:rsid w:val="386B3A1B"/>
    <w:rsid w:val="39CAA4AD"/>
    <w:rsid w:val="3AB83CA0"/>
    <w:rsid w:val="3B694D0F"/>
    <w:rsid w:val="3BC95FCF"/>
    <w:rsid w:val="3C0604A0"/>
    <w:rsid w:val="3CBF62CD"/>
    <w:rsid w:val="3D8DEC90"/>
    <w:rsid w:val="3DA1D501"/>
    <w:rsid w:val="3E52F8BE"/>
    <w:rsid w:val="3E5ECA21"/>
    <w:rsid w:val="3EB91EAE"/>
    <w:rsid w:val="3F7791F2"/>
    <w:rsid w:val="405BDB37"/>
    <w:rsid w:val="412119FE"/>
    <w:rsid w:val="4153C97A"/>
    <w:rsid w:val="417A430B"/>
    <w:rsid w:val="438F8FC1"/>
    <w:rsid w:val="443F67D6"/>
    <w:rsid w:val="445F0C06"/>
    <w:rsid w:val="44CB7F2F"/>
    <w:rsid w:val="44FC6A62"/>
    <w:rsid w:val="453DD481"/>
    <w:rsid w:val="455F4F0B"/>
    <w:rsid w:val="45FCE2BF"/>
    <w:rsid w:val="462B5332"/>
    <w:rsid w:val="47794C15"/>
    <w:rsid w:val="4779897E"/>
    <w:rsid w:val="484545FB"/>
    <w:rsid w:val="49EB25D9"/>
    <w:rsid w:val="4C6B24A2"/>
    <w:rsid w:val="4CE2080D"/>
    <w:rsid w:val="4DEB0082"/>
    <w:rsid w:val="4E7284ED"/>
    <w:rsid w:val="4E73D0C6"/>
    <w:rsid w:val="4E7E867F"/>
    <w:rsid w:val="4F1CBE65"/>
    <w:rsid w:val="505E16AB"/>
    <w:rsid w:val="5216960D"/>
    <w:rsid w:val="52890748"/>
    <w:rsid w:val="5336B957"/>
    <w:rsid w:val="538793FB"/>
    <w:rsid w:val="53CC8AEA"/>
    <w:rsid w:val="54CD3296"/>
    <w:rsid w:val="57348DC5"/>
    <w:rsid w:val="58751A57"/>
    <w:rsid w:val="594DDE49"/>
    <w:rsid w:val="59F3AA53"/>
    <w:rsid w:val="5A297969"/>
    <w:rsid w:val="5A6173E2"/>
    <w:rsid w:val="5D1355A6"/>
    <w:rsid w:val="5D48F515"/>
    <w:rsid w:val="5D49D34A"/>
    <w:rsid w:val="5D5A44D3"/>
    <w:rsid w:val="5D611A2B"/>
    <w:rsid w:val="5DF99B6D"/>
    <w:rsid w:val="5E884410"/>
    <w:rsid w:val="5EAE29E8"/>
    <w:rsid w:val="5F8B8705"/>
    <w:rsid w:val="606B7E6B"/>
    <w:rsid w:val="608790D5"/>
    <w:rsid w:val="61C74578"/>
    <w:rsid w:val="61F12CE4"/>
    <w:rsid w:val="61F8E903"/>
    <w:rsid w:val="62044449"/>
    <w:rsid w:val="620E02CF"/>
    <w:rsid w:val="62E14757"/>
    <w:rsid w:val="62F1B8E0"/>
    <w:rsid w:val="631F3CEE"/>
    <w:rsid w:val="633BF9E6"/>
    <w:rsid w:val="6362FFF1"/>
    <w:rsid w:val="64AC7405"/>
    <w:rsid w:val="64C37068"/>
    <w:rsid w:val="64F2E1E3"/>
    <w:rsid w:val="6563E764"/>
    <w:rsid w:val="66CA11FD"/>
    <w:rsid w:val="66D1CBB7"/>
    <w:rsid w:val="684E8069"/>
    <w:rsid w:val="6A29AF4F"/>
    <w:rsid w:val="6B56619B"/>
    <w:rsid w:val="6BCACC69"/>
    <w:rsid w:val="6D5C927D"/>
    <w:rsid w:val="6EB40B82"/>
    <w:rsid w:val="6EBA67EE"/>
    <w:rsid w:val="70C53AF3"/>
    <w:rsid w:val="711B9BFF"/>
    <w:rsid w:val="71B8EFC3"/>
    <w:rsid w:val="71C49AF4"/>
    <w:rsid w:val="7381BDA6"/>
    <w:rsid w:val="74485046"/>
    <w:rsid w:val="7512477D"/>
    <w:rsid w:val="755221CB"/>
    <w:rsid w:val="767660B2"/>
    <w:rsid w:val="77CF3CFA"/>
    <w:rsid w:val="789A2A04"/>
    <w:rsid w:val="78E6F6AE"/>
    <w:rsid w:val="7A10D2C6"/>
    <w:rsid w:val="7A151402"/>
    <w:rsid w:val="7A7E1558"/>
    <w:rsid w:val="7A82EB0B"/>
    <w:rsid w:val="7E423D24"/>
    <w:rsid w:val="7EAA9B8B"/>
    <w:rsid w:val="7EE38CF7"/>
    <w:rsid w:val="7F0B4A19"/>
    <w:rsid w:val="7FD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36277"/>
  <w15:docId w15:val="{A8BAF903-7587-4185-96B3-AE79DB19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1B3754"/>
    <w:rPr>
      <w:color w:val="808080"/>
    </w:rPr>
  </w:style>
  <w:style w:type="table" w:styleId="Tabelacomgrade">
    <w:name w:val="Table Grid"/>
    <w:basedOn w:val="Tabelanormal"/>
    <w:uiPriority w:val="39"/>
    <w:rsid w:val="003B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04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2F7"/>
  </w:style>
  <w:style w:type="paragraph" w:styleId="Rodap">
    <w:name w:val="footer"/>
    <w:basedOn w:val="Normal"/>
    <w:link w:val="RodapChar"/>
    <w:uiPriority w:val="99"/>
    <w:unhideWhenUsed/>
    <w:rsid w:val="00A04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2F7"/>
  </w:style>
  <w:style w:type="character" w:styleId="Hyperlink">
    <w:name w:val="Hyperlink"/>
    <w:basedOn w:val="Fontepargpadro"/>
    <w:uiPriority w:val="99"/>
    <w:unhideWhenUsed/>
    <w:rsid w:val="0098549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549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035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035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035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35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358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58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6508E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rsid w:val="0087575A"/>
    <w:rPr>
      <w:rFonts w:eastAsiaTheme="minorEastAsia"/>
      <w:color w:val="5A5A5A" w:themeColor="text1" w:themeTint="A5"/>
      <w:spacing w:val="15"/>
    </w:rPr>
  </w:style>
  <w:style w:type="character" w:styleId="Nmerodelinha">
    <w:name w:val="line number"/>
    <w:basedOn w:val="Fontepargpadro"/>
    <w:uiPriority w:val="99"/>
    <w:semiHidden/>
    <w:unhideWhenUsed/>
    <w:rsid w:val="00AF18F3"/>
  </w:style>
  <w:style w:type="paragraph" w:styleId="Reviso">
    <w:name w:val="Revision"/>
    <w:hidden/>
    <w:uiPriority w:val="99"/>
    <w:semiHidden/>
    <w:rsid w:val="006419C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5206F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466BFF"/>
    <w:rPr>
      <w:color w:val="605E5C"/>
      <w:shd w:val="clear" w:color="auto" w:fill="E1DFDD"/>
    </w:rPr>
  </w:style>
  <w:style w:type="table" w:customStyle="1" w:styleId="a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Normal1">
    <w:name w:val="Table Normal1"/>
    <w:rsid w:val="00A21BF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OJcGHwPjg+AYEngBaoMCTbn0zA==">AMUW2mV+j8ItygOujZWlUWIhMVQxO61fz1yih5MIxGAKB5zU1qstnizjy+k32GcAAx4sD6MalRutEhIAf3aC1LruZFMVVn4AONNK22zm3AssvVNCbT3f+oQ=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2125</Words>
  <Characters>11481</Characters>
  <Application>Microsoft Office Word</Application>
  <DocSecurity>0</DocSecurity>
  <Lines>95</Lines>
  <Paragraphs>27</Paragraphs>
  <ScaleCrop>false</ScaleCrop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 maximo</dc:creator>
  <cp:keywords/>
  <cp:lastModifiedBy>Natália Zanetti</cp:lastModifiedBy>
  <cp:revision>159</cp:revision>
  <dcterms:created xsi:type="dcterms:W3CDTF">2021-12-13T20:28:00Z</dcterms:created>
  <dcterms:modified xsi:type="dcterms:W3CDTF">2023-10-20T14:42:00Z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0x01010040E179A384584247B3C501207537D5C3</vt:lpwstr>
  </property>
</Properties>
</file>